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B2301">
      <w:pPr>
        <w:spacing w:before="27" w:line="434" w:lineRule="auto"/>
        <w:ind w:left="2725" w:right="1894" w:hanging="1328"/>
        <w:jc w:val="left"/>
        <w:rPr>
          <w:rFonts w:hint="eastAsia" w:ascii="宋体" w:hAnsi="宋体" w:eastAsia="宋体" w:cs="宋体"/>
          <w:b/>
          <w:sz w:val="32"/>
          <w:szCs w:val="32"/>
        </w:rPr>
      </w:pPr>
      <w:r>
        <w:rPr>
          <w:rFonts w:hint="eastAsia" w:ascii="宋体" w:hAnsi="宋体" w:eastAsia="宋体" w:cs="宋体"/>
          <w:b/>
          <w:sz w:val="32"/>
          <w:szCs w:val="32"/>
          <w:lang w:eastAsia="zh-CN"/>
        </w:rPr>
        <w:t>医学人文学院</w:t>
      </w:r>
      <w:r>
        <w:rPr>
          <w:rFonts w:hint="eastAsia" w:ascii="宋体" w:hAnsi="宋体" w:eastAsia="宋体" w:cs="宋体"/>
          <w:b/>
          <w:sz w:val="32"/>
          <w:szCs w:val="32"/>
        </w:rPr>
        <w:t>研究生学业奖学金评定细则</w:t>
      </w:r>
    </w:p>
    <w:p w14:paraId="407EE896">
      <w:pPr>
        <w:pStyle w:val="3"/>
        <w:rPr>
          <w:rFonts w:ascii="宋体"/>
          <w:b/>
          <w:sz w:val="32"/>
        </w:rPr>
      </w:pPr>
    </w:p>
    <w:p w14:paraId="34A20E88">
      <w:pPr>
        <w:pStyle w:val="3"/>
        <w:spacing w:before="232" w:line="364" w:lineRule="auto"/>
        <w:ind w:left="219" w:right="1272" w:firstLine="560"/>
        <w:jc w:val="both"/>
      </w:pPr>
      <w:r>
        <w:rPr>
          <w:rFonts w:hint="eastAsia"/>
          <w:spacing w:val="-11"/>
        </w:rPr>
        <w:t>根据《财政部 国家发展改革委 教育部关于完善研究生教育投入机制的意见》（财教〔2013〕219号）以及《江苏省财政厅 江苏省教育厅关于江苏省研究生学业奖学金管理暂行办法》（苏财教〔2014〕2号）</w:t>
      </w:r>
      <w:r>
        <w:t>文件精神，依据南京中医药大学总体精神和《南京中医药大学研究生学业奖学金评定细则》的通知要求，同时结合</w:t>
      </w:r>
      <w:r>
        <w:rPr>
          <w:rFonts w:hint="eastAsia"/>
          <w:lang w:eastAsia="zh-CN"/>
        </w:rPr>
        <w:t>本</w:t>
      </w:r>
      <w:r>
        <w:t>专业特点</w:t>
      </w:r>
      <w:r>
        <w:rPr>
          <w:rFonts w:hint="eastAsia"/>
          <w:lang w:eastAsia="zh-CN"/>
        </w:rPr>
        <w:t>及</w:t>
      </w:r>
      <w:r>
        <w:t>导师集体商定， 特制定本细则及其评价标准。</w:t>
      </w:r>
    </w:p>
    <w:p w14:paraId="5888A77E">
      <w:pPr>
        <w:pStyle w:val="2"/>
        <w:spacing w:before="116"/>
        <w:ind w:left="3600"/>
        <w:jc w:val="left"/>
      </w:pPr>
      <w:r>
        <w:t>第一章 总则</w:t>
      </w:r>
    </w:p>
    <w:p w14:paraId="12BD290D">
      <w:pPr>
        <w:pStyle w:val="3"/>
        <w:spacing w:before="11"/>
        <w:rPr>
          <w:b/>
          <w:sz w:val="23"/>
        </w:rPr>
      </w:pPr>
    </w:p>
    <w:p w14:paraId="31B0A18A">
      <w:pPr>
        <w:pStyle w:val="3"/>
        <w:spacing w:line="364" w:lineRule="auto"/>
        <w:ind w:left="219" w:right="1273" w:firstLine="560"/>
        <w:jc w:val="both"/>
      </w:pPr>
      <w:r>
        <w:t>第一条 研究生学业奖学金旨在激励</w:t>
      </w:r>
      <w:r>
        <w:rPr>
          <w:rFonts w:hint="eastAsia"/>
          <w:lang w:eastAsia="zh-CN"/>
        </w:rPr>
        <w:t>本</w:t>
      </w:r>
      <w:r>
        <w:t>专业研究生勤奋学习，潜心科研，勇于创新，积极进取。</w:t>
      </w:r>
    </w:p>
    <w:p w14:paraId="5E28C0DC">
      <w:pPr>
        <w:pStyle w:val="3"/>
        <w:spacing w:line="364" w:lineRule="auto"/>
        <w:ind w:left="219" w:right="1274" w:firstLine="560"/>
        <w:jc w:val="both"/>
      </w:pPr>
      <w:r>
        <w:rPr>
          <w:spacing w:val="-2"/>
        </w:rPr>
        <w:t>第二条 研究生学业奖学金授予在学习、科研和社会服务等活动</w:t>
      </w:r>
      <w:r>
        <w:rPr>
          <w:spacing w:val="-7"/>
          <w:w w:val="99"/>
        </w:rPr>
        <w:t>中表现优秀的硕士研究生</w:t>
      </w:r>
      <w:r>
        <w:rPr>
          <w:rFonts w:hint="eastAsia"/>
          <w:spacing w:val="-7"/>
          <w:w w:val="99"/>
          <w:lang w:eastAsia="zh-CN"/>
        </w:rPr>
        <w:t>，</w:t>
      </w:r>
      <w:r>
        <w:rPr>
          <w:spacing w:val="-5"/>
          <w:w w:val="99"/>
        </w:rPr>
        <w:t>基于不同的</w:t>
      </w:r>
      <w:r>
        <w:rPr>
          <w:spacing w:val="-5"/>
        </w:rPr>
        <w:t>获奖类型和等级，资助研究生完成学业。</w:t>
      </w:r>
    </w:p>
    <w:p w14:paraId="38C1343B">
      <w:pPr>
        <w:pStyle w:val="3"/>
        <w:spacing w:line="364" w:lineRule="auto"/>
        <w:ind w:left="220" w:right="1272" w:firstLine="555"/>
        <w:jc w:val="both"/>
      </w:pPr>
      <w:r>
        <w:t>第三条 奖助对象为我校具有中华人民共和国国籍且纳入全国研究生招生计划的硕士研究生。</w:t>
      </w:r>
    </w:p>
    <w:p w14:paraId="24443740">
      <w:pPr>
        <w:pStyle w:val="2"/>
        <w:spacing w:before="117"/>
        <w:ind w:left="2938"/>
      </w:pPr>
      <w:r>
        <w:t>第二章 申请条件与奖励标准</w:t>
      </w:r>
    </w:p>
    <w:p w14:paraId="2132675F">
      <w:pPr>
        <w:pStyle w:val="3"/>
        <w:spacing w:before="10"/>
        <w:rPr>
          <w:b/>
          <w:sz w:val="23"/>
        </w:rPr>
      </w:pPr>
    </w:p>
    <w:p w14:paraId="4B300F48">
      <w:pPr>
        <w:pStyle w:val="3"/>
        <w:ind w:left="220"/>
      </w:pPr>
      <w:r>
        <w:t>第四条 申请条件</w:t>
      </w:r>
    </w:p>
    <w:p w14:paraId="6E46DEE8">
      <w:pPr>
        <w:pStyle w:val="3"/>
        <w:spacing w:before="186"/>
        <w:ind w:left="780"/>
      </w:pPr>
      <w:r>
        <w:t>（一）热爱社会主义祖国，拥护中国共产党的领导；</w:t>
      </w:r>
    </w:p>
    <w:p w14:paraId="59A98658">
      <w:pPr>
        <w:pStyle w:val="3"/>
        <w:spacing w:before="186" w:line="364" w:lineRule="auto"/>
        <w:ind w:left="220" w:right="1277" w:firstLine="419"/>
      </w:pPr>
      <w:r>
        <w:t>（二</w:t>
      </w:r>
      <w:r>
        <w:rPr>
          <w:spacing w:val="-47"/>
        </w:rPr>
        <w:t>）</w:t>
      </w:r>
      <w:r>
        <w:rPr>
          <w:spacing w:val="-6"/>
        </w:rPr>
        <w:t>遵守宪法和法律，遵守学校规章制度,在读期间未受过纪律处分；</w:t>
      </w:r>
    </w:p>
    <w:p w14:paraId="649CB21B">
      <w:pPr>
        <w:spacing w:after="0" w:line="364" w:lineRule="auto"/>
        <w:sectPr>
          <w:pgSz w:w="11910" w:h="16840"/>
          <w:pgMar w:top="1520" w:right="520" w:bottom="280" w:left="1580" w:header="720" w:footer="720" w:gutter="0"/>
          <w:cols w:space="720" w:num="1"/>
        </w:sectPr>
      </w:pPr>
    </w:p>
    <w:p w14:paraId="247F3854">
      <w:pPr>
        <w:pStyle w:val="3"/>
        <w:spacing w:before="42"/>
        <w:ind w:left="640"/>
      </w:pPr>
      <w:r>
        <w:t>（三）品学兼优，诚实守信，无学术不端记录；</w:t>
      </w:r>
    </w:p>
    <w:p w14:paraId="7FB212EC">
      <w:pPr>
        <w:pStyle w:val="3"/>
        <w:spacing w:before="186" w:line="364" w:lineRule="auto"/>
        <w:ind w:left="220" w:right="4404" w:firstLine="420"/>
      </w:pPr>
      <w:r>
        <w:t>（四）积极参加科学研究和社会实践。第五条 奖励等级与标准</w:t>
      </w:r>
    </w:p>
    <w:p w14:paraId="27B9F184">
      <w:pPr>
        <w:spacing w:before="213" w:line="222" w:lineRule="auto"/>
        <w:ind w:left="679"/>
        <w:rPr>
          <w:rFonts w:ascii="仿宋" w:hAnsi="仿宋" w:eastAsia="仿宋" w:cs="仿宋"/>
          <w:sz w:val="28"/>
          <w:szCs w:val="28"/>
        </w:rPr>
      </w:pPr>
      <w:r>
        <w:rPr>
          <w:rFonts w:ascii="仿宋" w:hAnsi="仿宋" w:eastAsia="仿宋" w:cs="仿宋"/>
          <w:spacing w:val="18"/>
          <w:sz w:val="28"/>
          <w:szCs w:val="28"/>
        </w:rPr>
        <w:t>(一)第一学年</w:t>
      </w:r>
    </w:p>
    <w:p w14:paraId="10622DD3">
      <w:pPr>
        <w:spacing w:before="238" w:line="293" w:lineRule="auto"/>
        <w:ind w:left="2638" w:right="311" w:hanging="2059"/>
        <w:rPr>
          <w:rFonts w:ascii="仿宋" w:hAnsi="仿宋" w:eastAsia="仿宋" w:cs="仿宋"/>
          <w:spacing w:val="11"/>
          <w:sz w:val="28"/>
          <w:szCs w:val="28"/>
        </w:rPr>
      </w:pPr>
      <w:r>
        <w:rPr>
          <w:rFonts w:ascii="仿宋" w:hAnsi="仿宋" w:eastAsia="仿宋" w:cs="仿宋"/>
          <w:spacing w:val="3"/>
          <w:sz w:val="28"/>
          <w:szCs w:val="28"/>
        </w:rPr>
        <w:t>参评对象、具体等级及标准见</w:t>
      </w:r>
      <w:r>
        <w:rPr>
          <w:rFonts w:hint="eastAsia" w:cs="仿宋"/>
          <w:spacing w:val="3"/>
          <w:sz w:val="28"/>
          <w:szCs w:val="28"/>
          <w:lang w:val="en-US" w:eastAsia="zh-CN"/>
        </w:rPr>
        <w:t>下表</w:t>
      </w:r>
      <w:r>
        <w:rPr>
          <w:rFonts w:ascii="仿宋" w:hAnsi="仿宋" w:eastAsia="仿宋" w:cs="仿宋"/>
          <w:spacing w:val="3"/>
          <w:sz w:val="28"/>
          <w:szCs w:val="28"/>
        </w:rPr>
        <w:t>(针对符合条件的申请对象)。</w:t>
      </w:r>
      <w:r>
        <w:rPr>
          <w:rFonts w:ascii="仿宋" w:hAnsi="仿宋" w:eastAsia="仿宋" w:cs="仿宋"/>
          <w:spacing w:val="11"/>
          <w:sz w:val="28"/>
          <w:szCs w:val="28"/>
        </w:rPr>
        <w:t xml:space="preserve"> </w:t>
      </w:r>
    </w:p>
    <w:p w14:paraId="5A3ED4AA">
      <w:pPr>
        <w:spacing w:before="238" w:line="293" w:lineRule="auto"/>
        <w:ind w:right="311"/>
        <w:jc w:val="both"/>
        <w:rPr>
          <w:rFonts w:ascii="仿宋" w:hAnsi="仿宋" w:eastAsia="仿宋" w:cs="仿宋"/>
          <w:spacing w:val="-14"/>
          <w:sz w:val="25"/>
          <w:szCs w:val="25"/>
        </w:rPr>
      </w:pPr>
    </w:p>
    <w:p w14:paraId="02FBBA95">
      <w:pPr>
        <w:spacing w:line="133" w:lineRule="exact"/>
      </w:pPr>
    </w:p>
    <w:tbl>
      <w:tblPr>
        <w:tblStyle w:val="6"/>
        <w:tblW w:w="8229"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9"/>
        <w:gridCol w:w="890"/>
        <w:gridCol w:w="3965"/>
        <w:gridCol w:w="2355"/>
      </w:tblGrid>
      <w:tr w14:paraId="2ECB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229" w:type="dxa"/>
            <w:gridSpan w:val="4"/>
            <w:vAlign w:val="center"/>
          </w:tcPr>
          <w:p w14:paraId="6CF0C88A">
            <w:pPr>
              <w:pStyle w:val="9"/>
              <w:spacing w:before="185" w:line="220" w:lineRule="auto"/>
              <w:ind w:left="280"/>
              <w:jc w:val="center"/>
              <w:rPr>
                <w:rFonts w:hint="default" w:ascii="仿宋" w:hAnsi="仿宋" w:eastAsia="仿宋" w:cs="仿宋"/>
                <w:spacing w:val="-13"/>
                <w:sz w:val="28"/>
                <w:szCs w:val="28"/>
                <w:lang w:val="en-US" w:eastAsia="zh-CN" w:bidi="zh-CN"/>
              </w:rPr>
            </w:pPr>
            <w:r>
              <w:rPr>
                <w:rFonts w:hint="eastAsia" w:ascii="仿宋" w:hAnsi="仿宋" w:eastAsia="仿宋" w:cs="仿宋"/>
                <w:spacing w:val="-13"/>
                <w:sz w:val="28"/>
                <w:szCs w:val="28"/>
                <w:lang w:val="en-US" w:eastAsia="zh-CN" w:bidi="zh-CN"/>
              </w:rPr>
              <w:t>第一学年学业奖学金分配表</w:t>
            </w:r>
          </w:p>
        </w:tc>
      </w:tr>
      <w:tr w14:paraId="681E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019" w:type="dxa"/>
            <w:vAlign w:val="top"/>
          </w:tcPr>
          <w:p w14:paraId="2BF96E37">
            <w:pPr>
              <w:pStyle w:val="9"/>
              <w:spacing w:before="185" w:line="220" w:lineRule="auto"/>
              <w:ind w:left="280"/>
              <w:jc w:val="both"/>
              <w:rPr>
                <w:rFonts w:hint="default" w:ascii="仿宋" w:hAnsi="仿宋" w:eastAsia="仿宋" w:cs="仿宋"/>
                <w:spacing w:val="-13"/>
                <w:sz w:val="28"/>
                <w:szCs w:val="28"/>
                <w:lang w:val="en-US" w:eastAsia="zh-CN" w:bidi="zh-CN"/>
              </w:rPr>
            </w:pPr>
            <w:r>
              <w:rPr>
                <w:rFonts w:hint="eastAsia" w:ascii="仿宋" w:hAnsi="仿宋" w:eastAsia="仿宋" w:cs="仿宋"/>
                <w:spacing w:val="-13"/>
                <w:sz w:val="28"/>
                <w:szCs w:val="28"/>
                <w:lang w:val="en-US" w:eastAsia="zh-CN" w:bidi="zh-CN"/>
              </w:rPr>
              <w:t>类型</w:t>
            </w:r>
          </w:p>
        </w:tc>
        <w:tc>
          <w:tcPr>
            <w:tcW w:w="890" w:type="dxa"/>
            <w:vAlign w:val="top"/>
          </w:tcPr>
          <w:p w14:paraId="77AC39EB">
            <w:pPr>
              <w:pStyle w:val="9"/>
              <w:spacing w:before="185" w:line="220" w:lineRule="auto"/>
              <w:ind w:left="280"/>
              <w:jc w:val="center"/>
              <w:rPr>
                <w:rFonts w:hint="default" w:ascii="仿宋" w:hAnsi="仿宋" w:eastAsia="仿宋" w:cs="仿宋"/>
                <w:spacing w:val="-13"/>
                <w:sz w:val="28"/>
                <w:szCs w:val="28"/>
                <w:lang w:val="en-US" w:eastAsia="zh-CN" w:bidi="zh-CN"/>
              </w:rPr>
            </w:pPr>
            <w:r>
              <w:rPr>
                <w:rFonts w:hint="eastAsia" w:ascii="仿宋" w:hAnsi="仿宋" w:eastAsia="仿宋" w:cs="仿宋"/>
                <w:spacing w:val="-13"/>
                <w:sz w:val="28"/>
                <w:szCs w:val="28"/>
                <w:lang w:val="en-US" w:eastAsia="zh-CN" w:bidi="zh-CN"/>
              </w:rPr>
              <w:t>等级</w:t>
            </w:r>
          </w:p>
        </w:tc>
        <w:tc>
          <w:tcPr>
            <w:tcW w:w="3965" w:type="dxa"/>
            <w:vAlign w:val="top"/>
          </w:tcPr>
          <w:p w14:paraId="022FC902">
            <w:pPr>
              <w:pStyle w:val="9"/>
              <w:spacing w:before="185" w:line="220" w:lineRule="auto"/>
              <w:ind w:left="280"/>
              <w:jc w:val="center"/>
              <w:rPr>
                <w:rFonts w:hint="default" w:ascii="仿宋" w:hAnsi="仿宋" w:eastAsia="仿宋" w:cs="仿宋"/>
                <w:spacing w:val="-13"/>
                <w:sz w:val="28"/>
                <w:szCs w:val="28"/>
                <w:lang w:val="en-US" w:eastAsia="zh-CN" w:bidi="zh-CN"/>
              </w:rPr>
            </w:pPr>
            <w:r>
              <w:rPr>
                <w:rFonts w:hint="eastAsia" w:ascii="仿宋" w:hAnsi="仿宋" w:eastAsia="仿宋" w:cs="仿宋"/>
                <w:spacing w:val="-13"/>
                <w:sz w:val="28"/>
                <w:szCs w:val="28"/>
                <w:lang w:val="en-US" w:eastAsia="zh-CN" w:bidi="zh-CN"/>
              </w:rPr>
              <w:t>参评对象</w:t>
            </w:r>
          </w:p>
        </w:tc>
        <w:tc>
          <w:tcPr>
            <w:tcW w:w="2355" w:type="dxa"/>
            <w:vAlign w:val="top"/>
          </w:tcPr>
          <w:p w14:paraId="3621E457">
            <w:pPr>
              <w:pStyle w:val="9"/>
              <w:spacing w:before="185" w:line="220" w:lineRule="auto"/>
              <w:ind w:left="280"/>
              <w:rPr>
                <w:rFonts w:hint="default" w:ascii="仿宋" w:hAnsi="仿宋" w:eastAsia="仿宋" w:cs="仿宋"/>
                <w:spacing w:val="-13"/>
                <w:sz w:val="28"/>
                <w:szCs w:val="28"/>
                <w:lang w:val="en-US" w:eastAsia="zh-CN" w:bidi="zh-CN"/>
              </w:rPr>
            </w:pPr>
            <w:r>
              <w:rPr>
                <w:rFonts w:hint="eastAsia" w:ascii="仿宋" w:hAnsi="仿宋" w:eastAsia="仿宋" w:cs="仿宋"/>
                <w:spacing w:val="-13"/>
                <w:sz w:val="28"/>
                <w:szCs w:val="28"/>
                <w:lang w:val="en-US" w:eastAsia="zh-CN" w:bidi="zh-CN"/>
              </w:rPr>
              <w:t>金额（万元/年）</w:t>
            </w:r>
          </w:p>
        </w:tc>
      </w:tr>
      <w:tr w14:paraId="27B3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019" w:type="dxa"/>
            <w:vAlign w:val="top"/>
          </w:tcPr>
          <w:p w14:paraId="6CE73FB9">
            <w:pPr>
              <w:pStyle w:val="9"/>
              <w:spacing w:before="185" w:line="220" w:lineRule="auto"/>
              <w:ind w:left="28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博士</w:t>
            </w:r>
          </w:p>
        </w:tc>
        <w:tc>
          <w:tcPr>
            <w:tcW w:w="890" w:type="dxa"/>
            <w:vAlign w:val="top"/>
          </w:tcPr>
          <w:p w14:paraId="48B15A03">
            <w:pPr>
              <w:pStyle w:val="9"/>
              <w:spacing w:before="184" w:line="219" w:lineRule="auto"/>
              <w:ind w:left="21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一等</w:t>
            </w:r>
          </w:p>
        </w:tc>
        <w:tc>
          <w:tcPr>
            <w:tcW w:w="3965" w:type="dxa"/>
            <w:vAlign w:val="top"/>
          </w:tcPr>
          <w:p w14:paraId="005BB694">
            <w:pPr>
              <w:pStyle w:val="9"/>
              <w:spacing w:before="182" w:line="219" w:lineRule="auto"/>
              <w:ind w:left="91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符合条件的研究生</w:t>
            </w:r>
          </w:p>
        </w:tc>
        <w:tc>
          <w:tcPr>
            <w:tcW w:w="2355" w:type="dxa"/>
            <w:vAlign w:val="top"/>
          </w:tcPr>
          <w:p w14:paraId="7193C9C6">
            <w:pPr>
              <w:pStyle w:val="9"/>
              <w:spacing w:before="242" w:line="184" w:lineRule="auto"/>
              <w:ind w:left="546"/>
              <w:jc w:val="center"/>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1.8</w:t>
            </w:r>
          </w:p>
        </w:tc>
      </w:tr>
      <w:tr w14:paraId="15FD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1019" w:type="dxa"/>
            <w:vMerge w:val="restart"/>
            <w:vAlign w:val="top"/>
          </w:tcPr>
          <w:p w14:paraId="6CE419F9">
            <w:pPr>
              <w:spacing w:line="337" w:lineRule="auto"/>
              <w:rPr>
                <w:rFonts w:ascii="仿宋" w:hAnsi="仿宋" w:eastAsia="仿宋" w:cs="仿宋"/>
                <w:spacing w:val="-13"/>
                <w:sz w:val="28"/>
                <w:szCs w:val="28"/>
                <w:lang w:val="zh-CN" w:eastAsia="zh-CN" w:bidi="zh-CN"/>
              </w:rPr>
            </w:pPr>
          </w:p>
          <w:p w14:paraId="3DF21749">
            <w:pPr>
              <w:spacing w:line="337" w:lineRule="auto"/>
              <w:rPr>
                <w:rFonts w:ascii="仿宋" w:hAnsi="仿宋" w:eastAsia="仿宋" w:cs="仿宋"/>
                <w:spacing w:val="-13"/>
                <w:sz w:val="28"/>
                <w:szCs w:val="28"/>
                <w:lang w:val="zh-CN" w:eastAsia="zh-CN" w:bidi="zh-CN"/>
              </w:rPr>
            </w:pPr>
          </w:p>
          <w:p w14:paraId="526D3F42">
            <w:pPr>
              <w:pStyle w:val="9"/>
              <w:spacing w:before="75" w:line="221" w:lineRule="auto"/>
              <w:ind w:left="28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硕士</w:t>
            </w:r>
          </w:p>
        </w:tc>
        <w:tc>
          <w:tcPr>
            <w:tcW w:w="890" w:type="dxa"/>
            <w:vAlign w:val="top"/>
          </w:tcPr>
          <w:p w14:paraId="08257727">
            <w:pPr>
              <w:pStyle w:val="9"/>
              <w:spacing w:before="162" w:line="219" w:lineRule="auto"/>
              <w:ind w:left="22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一等</w:t>
            </w:r>
          </w:p>
        </w:tc>
        <w:tc>
          <w:tcPr>
            <w:tcW w:w="3965" w:type="dxa"/>
            <w:vAlign w:val="top"/>
          </w:tcPr>
          <w:p w14:paraId="0EBE1497">
            <w:pPr>
              <w:pStyle w:val="9"/>
              <w:spacing w:before="180" w:line="219" w:lineRule="auto"/>
              <w:ind w:left="69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所有推免录取的研究生</w:t>
            </w:r>
          </w:p>
        </w:tc>
        <w:tc>
          <w:tcPr>
            <w:tcW w:w="2355" w:type="dxa"/>
            <w:vAlign w:val="top"/>
          </w:tcPr>
          <w:p w14:paraId="322F8F2F">
            <w:pPr>
              <w:pStyle w:val="9"/>
              <w:spacing w:before="260" w:line="184" w:lineRule="auto"/>
              <w:ind w:left="565"/>
              <w:jc w:val="center"/>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1.2</w:t>
            </w:r>
          </w:p>
        </w:tc>
      </w:tr>
      <w:tr w14:paraId="5C05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019" w:type="dxa"/>
            <w:vMerge w:val="continue"/>
            <w:vAlign w:val="top"/>
          </w:tcPr>
          <w:p w14:paraId="4DA76370">
            <w:pPr>
              <w:rPr>
                <w:rFonts w:ascii="仿宋" w:hAnsi="仿宋" w:eastAsia="仿宋" w:cs="仿宋"/>
                <w:spacing w:val="-13"/>
                <w:sz w:val="28"/>
                <w:szCs w:val="28"/>
                <w:lang w:val="zh-CN" w:eastAsia="zh-CN" w:bidi="zh-CN"/>
              </w:rPr>
            </w:pPr>
          </w:p>
        </w:tc>
        <w:tc>
          <w:tcPr>
            <w:tcW w:w="890" w:type="dxa"/>
            <w:vAlign w:val="top"/>
          </w:tcPr>
          <w:p w14:paraId="66811269">
            <w:pPr>
              <w:pStyle w:val="9"/>
              <w:spacing w:before="185" w:line="219" w:lineRule="auto"/>
              <w:ind w:left="231"/>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二等</w:t>
            </w:r>
          </w:p>
        </w:tc>
        <w:tc>
          <w:tcPr>
            <w:tcW w:w="3965" w:type="dxa"/>
            <w:vAlign w:val="top"/>
          </w:tcPr>
          <w:p w14:paraId="6E8EC15F">
            <w:pPr>
              <w:pStyle w:val="9"/>
              <w:spacing w:before="184" w:line="219" w:lineRule="auto"/>
              <w:ind w:left="201"/>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符合条件的一志愿录取的研究生</w:t>
            </w:r>
          </w:p>
        </w:tc>
        <w:tc>
          <w:tcPr>
            <w:tcW w:w="2355" w:type="dxa"/>
            <w:vAlign w:val="top"/>
          </w:tcPr>
          <w:p w14:paraId="6FE10DC4">
            <w:pPr>
              <w:pStyle w:val="9"/>
              <w:spacing w:before="284" w:line="183" w:lineRule="auto"/>
              <w:ind w:left="556"/>
              <w:jc w:val="center"/>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0.9</w:t>
            </w:r>
          </w:p>
        </w:tc>
      </w:tr>
      <w:tr w14:paraId="5768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019" w:type="dxa"/>
            <w:vMerge w:val="continue"/>
            <w:vAlign w:val="top"/>
          </w:tcPr>
          <w:p w14:paraId="57576FE5">
            <w:pPr>
              <w:rPr>
                <w:rFonts w:ascii="仿宋" w:hAnsi="仿宋" w:eastAsia="仿宋" w:cs="仿宋"/>
                <w:spacing w:val="-13"/>
                <w:sz w:val="28"/>
                <w:szCs w:val="28"/>
                <w:lang w:val="zh-CN" w:eastAsia="zh-CN" w:bidi="zh-CN"/>
              </w:rPr>
            </w:pPr>
          </w:p>
        </w:tc>
        <w:tc>
          <w:tcPr>
            <w:tcW w:w="890" w:type="dxa"/>
            <w:vAlign w:val="top"/>
          </w:tcPr>
          <w:p w14:paraId="702BDCC7">
            <w:pPr>
              <w:pStyle w:val="9"/>
              <w:spacing w:before="187" w:line="219" w:lineRule="auto"/>
              <w:ind w:left="220"/>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三等</w:t>
            </w:r>
          </w:p>
        </w:tc>
        <w:tc>
          <w:tcPr>
            <w:tcW w:w="3965" w:type="dxa"/>
            <w:vAlign w:val="top"/>
          </w:tcPr>
          <w:p w14:paraId="13C5709F">
            <w:pPr>
              <w:pStyle w:val="9"/>
              <w:spacing w:before="186" w:line="219" w:lineRule="auto"/>
              <w:ind w:left="201"/>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符合条件的经调剂录取的研究生</w:t>
            </w:r>
          </w:p>
        </w:tc>
        <w:tc>
          <w:tcPr>
            <w:tcW w:w="2355" w:type="dxa"/>
            <w:vAlign w:val="top"/>
          </w:tcPr>
          <w:p w14:paraId="1C7154A5">
            <w:pPr>
              <w:pStyle w:val="9"/>
              <w:spacing w:before="266" w:line="183" w:lineRule="auto"/>
              <w:ind w:left="546"/>
              <w:jc w:val="center"/>
              <w:rPr>
                <w:rFonts w:ascii="仿宋" w:hAnsi="仿宋" w:eastAsia="仿宋" w:cs="仿宋"/>
                <w:spacing w:val="-13"/>
                <w:sz w:val="28"/>
                <w:szCs w:val="28"/>
                <w:lang w:val="zh-CN" w:eastAsia="zh-CN" w:bidi="zh-CN"/>
              </w:rPr>
            </w:pPr>
            <w:r>
              <w:rPr>
                <w:rFonts w:ascii="仿宋" w:hAnsi="仿宋" w:eastAsia="仿宋" w:cs="仿宋"/>
                <w:spacing w:val="-13"/>
                <w:sz w:val="28"/>
                <w:szCs w:val="28"/>
                <w:lang w:val="zh-CN" w:eastAsia="zh-CN" w:bidi="zh-CN"/>
              </w:rPr>
              <w:t>0.6</w:t>
            </w:r>
          </w:p>
        </w:tc>
      </w:tr>
    </w:tbl>
    <w:p w14:paraId="08A8B03F">
      <w:pPr>
        <w:pStyle w:val="3"/>
        <w:spacing w:line="364" w:lineRule="auto"/>
        <w:ind w:right="1276"/>
        <w:rPr>
          <w:spacing w:val="-13"/>
        </w:rPr>
      </w:pPr>
    </w:p>
    <w:p w14:paraId="50C4E348">
      <w:pPr>
        <w:pStyle w:val="3"/>
        <w:spacing w:line="364" w:lineRule="auto"/>
        <w:ind w:left="219" w:right="1276" w:firstLine="560"/>
        <w:rPr>
          <w:spacing w:val="-13"/>
        </w:rPr>
      </w:pPr>
      <w:r>
        <w:rPr>
          <w:rFonts w:hint="eastAsia"/>
          <w:spacing w:val="-13"/>
          <w:lang w:eastAsia="zh-CN"/>
        </w:rPr>
        <w:t>（</w:t>
      </w:r>
      <w:r>
        <w:rPr>
          <w:rFonts w:hint="eastAsia"/>
          <w:spacing w:val="-13"/>
          <w:lang w:val="en-US" w:eastAsia="zh-CN"/>
        </w:rPr>
        <w:t>二</w:t>
      </w:r>
      <w:r>
        <w:rPr>
          <w:rFonts w:hint="eastAsia"/>
          <w:spacing w:val="-13"/>
          <w:lang w:eastAsia="zh-CN"/>
        </w:rPr>
        <w:t>）</w:t>
      </w:r>
      <w:r>
        <w:rPr>
          <w:spacing w:val="-13"/>
        </w:rPr>
        <w:t>第二、三学年学业奖学金按照学校文件的规定并根据专业特点制定的评选办法来确定比例等额。</w:t>
      </w:r>
    </w:p>
    <w:p w14:paraId="56C854CE">
      <w:pPr>
        <w:spacing w:before="238" w:line="293" w:lineRule="auto"/>
        <w:ind w:left="2638" w:right="311" w:hanging="2059"/>
        <w:rPr>
          <w:rFonts w:ascii="仿宋" w:hAnsi="仿宋" w:eastAsia="仿宋" w:cs="仿宋"/>
          <w:spacing w:val="3"/>
          <w:sz w:val="28"/>
          <w:szCs w:val="28"/>
        </w:rPr>
      </w:pPr>
      <w:r>
        <w:rPr>
          <w:rFonts w:ascii="仿宋" w:hAnsi="仿宋" w:eastAsia="仿宋" w:cs="仿宋"/>
          <w:spacing w:val="3"/>
          <w:sz w:val="28"/>
          <w:szCs w:val="28"/>
        </w:rPr>
        <w:t>《南京中医药大学研究生学业奖学金评定细则》（20</w:t>
      </w:r>
      <w:r>
        <w:rPr>
          <w:rFonts w:hint="eastAsia" w:ascii="仿宋" w:hAnsi="仿宋" w:eastAsia="仿宋" w:cs="仿宋"/>
          <w:spacing w:val="3"/>
          <w:sz w:val="28"/>
          <w:szCs w:val="28"/>
          <w:lang w:val="en-US" w:eastAsia="zh-CN"/>
        </w:rPr>
        <w:t>22</w:t>
      </w:r>
      <w:r>
        <w:rPr>
          <w:rFonts w:ascii="仿宋" w:hAnsi="仿宋" w:eastAsia="仿宋" w:cs="仿宋"/>
          <w:spacing w:val="3"/>
          <w:sz w:val="28"/>
          <w:szCs w:val="28"/>
        </w:rPr>
        <w:t>年修订）文件规定第二、三学年学业奖学金分配表</w:t>
      </w:r>
    </w:p>
    <w:tbl>
      <w:tblPr>
        <w:tblStyle w:val="4"/>
        <w:tblpPr w:leftFromText="180" w:rightFromText="180" w:vertAnchor="text" w:horzAnchor="page" w:tblpX="1579" w:tblpY="17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1848"/>
        <w:gridCol w:w="2156"/>
        <w:gridCol w:w="3698"/>
      </w:tblGrid>
      <w:tr w14:paraId="1FB5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726" w:type="dxa"/>
            <w:tcBorders>
              <w:bottom w:val="single" w:color="auto" w:sz="4" w:space="0"/>
            </w:tcBorders>
          </w:tcPr>
          <w:p w14:paraId="6E9F9B9D">
            <w:pPr>
              <w:pStyle w:val="8"/>
              <w:spacing w:before="2" w:line="289" w:lineRule="exact"/>
              <w:ind w:left="601" w:right="595"/>
              <w:rPr>
                <w:sz w:val="24"/>
              </w:rPr>
            </w:pPr>
            <w:r>
              <w:rPr>
                <w:sz w:val="24"/>
              </w:rPr>
              <w:t>类型</w:t>
            </w:r>
          </w:p>
        </w:tc>
        <w:tc>
          <w:tcPr>
            <w:tcW w:w="1848" w:type="dxa"/>
          </w:tcPr>
          <w:p w14:paraId="6ECB84D1">
            <w:pPr>
              <w:pStyle w:val="8"/>
              <w:spacing w:before="2" w:line="289" w:lineRule="exact"/>
              <w:ind w:left="683"/>
              <w:jc w:val="left"/>
              <w:rPr>
                <w:sz w:val="24"/>
              </w:rPr>
            </w:pPr>
            <w:r>
              <w:rPr>
                <w:sz w:val="24"/>
              </w:rPr>
              <w:t>级别</w:t>
            </w:r>
          </w:p>
        </w:tc>
        <w:tc>
          <w:tcPr>
            <w:tcW w:w="2156" w:type="dxa"/>
          </w:tcPr>
          <w:p w14:paraId="73845CD6">
            <w:pPr>
              <w:pStyle w:val="8"/>
              <w:spacing w:before="2" w:line="289" w:lineRule="exact"/>
              <w:ind w:right="89"/>
              <w:rPr>
                <w:sz w:val="24"/>
              </w:rPr>
            </w:pPr>
            <w:r>
              <w:rPr>
                <w:sz w:val="24"/>
              </w:rPr>
              <w:t>比例</w:t>
            </w:r>
          </w:p>
        </w:tc>
        <w:tc>
          <w:tcPr>
            <w:tcW w:w="3698" w:type="dxa"/>
          </w:tcPr>
          <w:p w14:paraId="0843F448">
            <w:pPr>
              <w:pStyle w:val="8"/>
              <w:spacing w:before="2" w:line="289" w:lineRule="exact"/>
              <w:ind w:left="929" w:right="919"/>
              <w:rPr>
                <w:sz w:val="24"/>
              </w:rPr>
            </w:pPr>
            <w:r>
              <w:rPr>
                <w:sz w:val="24"/>
              </w:rPr>
              <w:t>金额（万元/年）</w:t>
            </w:r>
          </w:p>
        </w:tc>
      </w:tr>
      <w:tr w14:paraId="3BB23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726" w:type="dxa"/>
            <w:vMerge w:val="restart"/>
            <w:tcBorders>
              <w:top w:val="single" w:color="auto" w:sz="4" w:space="0"/>
              <w:left w:val="single" w:color="auto" w:sz="4" w:space="0"/>
              <w:bottom w:val="single" w:color="auto" w:sz="4" w:space="0"/>
              <w:right w:val="single" w:color="auto" w:sz="4" w:space="0"/>
            </w:tcBorders>
          </w:tcPr>
          <w:p w14:paraId="720824C4">
            <w:pPr>
              <w:pStyle w:val="8"/>
              <w:spacing w:before="207" w:line="242" w:lineRule="auto"/>
              <w:ind w:left="741" w:right="732"/>
              <w:rPr>
                <w:sz w:val="24"/>
              </w:rPr>
            </w:pPr>
            <w:r>
              <w:rPr>
                <w:sz w:val="24"/>
              </w:rPr>
              <w:t>硕士</w:t>
            </w:r>
          </w:p>
        </w:tc>
        <w:tc>
          <w:tcPr>
            <w:tcW w:w="1848" w:type="dxa"/>
            <w:tcBorders>
              <w:left w:val="single" w:color="auto" w:sz="4" w:space="0"/>
            </w:tcBorders>
          </w:tcPr>
          <w:p w14:paraId="7D0A33B8">
            <w:pPr>
              <w:pStyle w:val="8"/>
              <w:spacing w:line="303" w:lineRule="exact"/>
              <w:ind w:left="683"/>
              <w:jc w:val="left"/>
              <w:rPr>
                <w:sz w:val="24"/>
              </w:rPr>
            </w:pPr>
            <w:r>
              <w:rPr>
                <w:sz w:val="24"/>
              </w:rPr>
              <w:t>一等</w:t>
            </w:r>
          </w:p>
        </w:tc>
        <w:tc>
          <w:tcPr>
            <w:tcW w:w="2156" w:type="dxa"/>
          </w:tcPr>
          <w:p w14:paraId="3F6268E2">
            <w:pPr>
              <w:pStyle w:val="8"/>
              <w:spacing w:line="303" w:lineRule="exact"/>
              <w:ind w:right="89"/>
              <w:rPr>
                <w:sz w:val="24"/>
              </w:rPr>
            </w:pPr>
            <w:r>
              <w:rPr>
                <w:rFonts w:hint="eastAsia"/>
                <w:sz w:val="24"/>
                <w:lang w:val="en-US" w:eastAsia="zh-CN"/>
              </w:rPr>
              <w:t>20</w:t>
            </w:r>
            <w:r>
              <w:rPr>
                <w:sz w:val="24"/>
              </w:rPr>
              <w:t>%</w:t>
            </w:r>
          </w:p>
        </w:tc>
        <w:tc>
          <w:tcPr>
            <w:tcW w:w="3698" w:type="dxa"/>
          </w:tcPr>
          <w:p w14:paraId="66C41EE2">
            <w:pPr>
              <w:pStyle w:val="8"/>
              <w:spacing w:line="303" w:lineRule="exact"/>
              <w:ind w:left="929" w:right="919"/>
              <w:rPr>
                <w:sz w:val="24"/>
              </w:rPr>
            </w:pPr>
            <w:r>
              <w:rPr>
                <w:sz w:val="24"/>
              </w:rPr>
              <w:t>1.2</w:t>
            </w:r>
          </w:p>
        </w:tc>
      </w:tr>
      <w:tr w14:paraId="0187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26" w:type="dxa"/>
            <w:vMerge w:val="continue"/>
            <w:tcBorders>
              <w:top w:val="single" w:color="auto" w:sz="4" w:space="0"/>
              <w:left w:val="single" w:color="auto" w:sz="4" w:space="0"/>
              <w:bottom w:val="single" w:color="auto" w:sz="4" w:space="0"/>
              <w:right w:val="single" w:color="auto" w:sz="4" w:space="0"/>
            </w:tcBorders>
          </w:tcPr>
          <w:p w14:paraId="3570E688">
            <w:pPr>
              <w:rPr>
                <w:sz w:val="2"/>
                <w:szCs w:val="2"/>
              </w:rPr>
            </w:pPr>
          </w:p>
        </w:tc>
        <w:tc>
          <w:tcPr>
            <w:tcW w:w="1848" w:type="dxa"/>
            <w:tcBorders>
              <w:left w:val="single" w:color="auto" w:sz="4" w:space="0"/>
            </w:tcBorders>
          </w:tcPr>
          <w:p w14:paraId="5827A4A1">
            <w:pPr>
              <w:pStyle w:val="8"/>
              <w:spacing w:line="303" w:lineRule="exact"/>
              <w:ind w:left="683"/>
              <w:jc w:val="left"/>
              <w:rPr>
                <w:sz w:val="24"/>
              </w:rPr>
            </w:pPr>
            <w:r>
              <w:rPr>
                <w:sz w:val="24"/>
              </w:rPr>
              <w:t>二等</w:t>
            </w:r>
          </w:p>
        </w:tc>
        <w:tc>
          <w:tcPr>
            <w:tcW w:w="2156" w:type="dxa"/>
          </w:tcPr>
          <w:p w14:paraId="58D7C3DC">
            <w:pPr>
              <w:pStyle w:val="8"/>
              <w:spacing w:line="303" w:lineRule="exact"/>
              <w:ind w:right="89"/>
              <w:rPr>
                <w:sz w:val="24"/>
              </w:rPr>
            </w:pPr>
            <w:r>
              <w:rPr>
                <w:rFonts w:hint="eastAsia"/>
                <w:sz w:val="24"/>
                <w:lang w:val="en-US" w:eastAsia="zh-CN"/>
              </w:rPr>
              <w:t>60</w:t>
            </w:r>
            <w:r>
              <w:rPr>
                <w:sz w:val="24"/>
              </w:rPr>
              <w:t>%</w:t>
            </w:r>
          </w:p>
        </w:tc>
        <w:tc>
          <w:tcPr>
            <w:tcW w:w="3698" w:type="dxa"/>
          </w:tcPr>
          <w:p w14:paraId="4BF52EB3">
            <w:pPr>
              <w:pStyle w:val="8"/>
              <w:spacing w:line="303" w:lineRule="exact"/>
              <w:ind w:left="929" w:right="919"/>
              <w:rPr>
                <w:sz w:val="24"/>
              </w:rPr>
            </w:pPr>
            <w:r>
              <w:rPr>
                <w:sz w:val="24"/>
              </w:rPr>
              <w:t>0.9</w:t>
            </w:r>
          </w:p>
        </w:tc>
      </w:tr>
      <w:tr w14:paraId="7D97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726" w:type="dxa"/>
            <w:vMerge w:val="continue"/>
            <w:tcBorders>
              <w:top w:val="single" w:color="auto" w:sz="4" w:space="0"/>
              <w:left w:val="single" w:color="auto" w:sz="4" w:space="0"/>
              <w:bottom w:val="single" w:color="auto" w:sz="4" w:space="0"/>
              <w:right w:val="single" w:color="auto" w:sz="4" w:space="0"/>
            </w:tcBorders>
          </w:tcPr>
          <w:p w14:paraId="2C4B981B">
            <w:pPr>
              <w:rPr>
                <w:sz w:val="2"/>
                <w:szCs w:val="2"/>
              </w:rPr>
            </w:pPr>
          </w:p>
        </w:tc>
        <w:tc>
          <w:tcPr>
            <w:tcW w:w="1848" w:type="dxa"/>
            <w:tcBorders>
              <w:left w:val="single" w:color="auto" w:sz="4" w:space="0"/>
            </w:tcBorders>
          </w:tcPr>
          <w:p w14:paraId="339E66D8">
            <w:pPr>
              <w:pStyle w:val="8"/>
              <w:spacing w:line="303" w:lineRule="exact"/>
              <w:ind w:left="683"/>
              <w:jc w:val="left"/>
              <w:rPr>
                <w:sz w:val="24"/>
              </w:rPr>
            </w:pPr>
            <w:r>
              <w:rPr>
                <w:sz w:val="24"/>
              </w:rPr>
              <w:t>三等</w:t>
            </w:r>
          </w:p>
        </w:tc>
        <w:tc>
          <w:tcPr>
            <w:tcW w:w="2156" w:type="dxa"/>
          </w:tcPr>
          <w:p w14:paraId="09090D02">
            <w:pPr>
              <w:pStyle w:val="8"/>
              <w:spacing w:line="303" w:lineRule="exact"/>
              <w:ind w:right="89"/>
              <w:rPr>
                <w:sz w:val="24"/>
              </w:rPr>
            </w:pPr>
            <w:r>
              <w:rPr>
                <w:rFonts w:hint="eastAsia"/>
                <w:sz w:val="24"/>
                <w:lang w:val="en-US" w:eastAsia="zh-CN"/>
              </w:rPr>
              <w:t>20</w:t>
            </w:r>
            <w:r>
              <w:rPr>
                <w:sz w:val="24"/>
              </w:rPr>
              <w:t>%</w:t>
            </w:r>
          </w:p>
        </w:tc>
        <w:tc>
          <w:tcPr>
            <w:tcW w:w="3698" w:type="dxa"/>
          </w:tcPr>
          <w:p w14:paraId="4AE1822F">
            <w:pPr>
              <w:pStyle w:val="8"/>
              <w:spacing w:line="303" w:lineRule="exact"/>
              <w:ind w:left="929" w:right="919"/>
              <w:rPr>
                <w:sz w:val="24"/>
              </w:rPr>
            </w:pPr>
            <w:r>
              <w:rPr>
                <w:sz w:val="24"/>
              </w:rPr>
              <w:t>0.6</w:t>
            </w:r>
          </w:p>
        </w:tc>
      </w:tr>
    </w:tbl>
    <w:p w14:paraId="15B63D37">
      <w:pPr>
        <w:spacing w:before="238" w:line="293" w:lineRule="auto"/>
        <w:ind w:left="2638" w:right="311" w:hanging="2059"/>
        <w:rPr>
          <w:rFonts w:ascii="仿宋" w:hAnsi="仿宋" w:eastAsia="仿宋" w:cs="仿宋"/>
          <w:spacing w:val="3"/>
          <w:sz w:val="28"/>
          <w:szCs w:val="28"/>
        </w:rPr>
      </w:pPr>
    </w:p>
    <w:p w14:paraId="791B60E1">
      <w:pPr>
        <w:spacing w:before="238" w:line="293" w:lineRule="auto"/>
        <w:ind w:left="2638" w:right="311" w:hanging="2059"/>
        <w:rPr>
          <w:rFonts w:ascii="仿宋" w:hAnsi="仿宋" w:eastAsia="仿宋" w:cs="仿宋"/>
          <w:spacing w:val="3"/>
          <w:sz w:val="28"/>
          <w:szCs w:val="28"/>
        </w:rPr>
      </w:pPr>
    </w:p>
    <w:p w14:paraId="54C8E696">
      <w:pPr>
        <w:pStyle w:val="3"/>
        <w:rPr>
          <w:sz w:val="24"/>
        </w:rPr>
      </w:pPr>
    </w:p>
    <w:p w14:paraId="1EE8CFB2">
      <w:pPr>
        <w:pStyle w:val="3"/>
        <w:rPr>
          <w:sz w:val="24"/>
        </w:rPr>
      </w:pPr>
    </w:p>
    <w:p w14:paraId="549F3DD7">
      <w:pPr>
        <w:pStyle w:val="3"/>
        <w:rPr>
          <w:sz w:val="24"/>
        </w:rPr>
      </w:pPr>
    </w:p>
    <w:p w14:paraId="280B1B9E">
      <w:pPr>
        <w:spacing w:before="0"/>
        <w:ind w:right="0"/>
        <w:jc w:val="left"/>
        <w:rPr>
          <w:sz w:val="24"/>
        </w:rPr>
      </w:pPr>
    </w:p>
    <w:p w14:paraId="7B0164B4">
      <w:pPr>
        <w:spacing w:before="238" w:line="293" w:lineRule="auto"/>
        <w:ind w:left="2638" w:right="311" w:hanging="2059"/>
        <w:jc w:val="center"/>
        <w:rPr>
          <w:rFonts w:ascii="仿宋" w:hAnsi="仿宋" w:eastAsia="仿宋" w:cs="仿宋"/>
          <w:spacing w:val="3"/>
          <w:sz w:val="28"/>
          <w:szCs w:val="28"/>
        </w:rPr>
      </w:pPr>
      <w:r>
        <w:rPr>
          <w:rFonts w:ascii="仿宋" w:hAnsi="仿宋" w:eastAsia="仿宋" w:cs="仿宋"/>
          <w:spacing w:val="3"/>
          <w:sz w:val="28"/>
          <w:szCs w:val="28"/>
        </w:rPr>
        <w:t>据上述学校文件制定</w:t>
      </w:r>
      <w:r>
        <w:rPr>
          <w:rFonts w:hint="eastAsia" w:ascii="仿宋" w:hAnsi="仿宋" w:eastAsia="仿宋" w:cs="仿宋"/>
          <w:spacing w:val="3"/>
          <w:sz w:val="28"/>
          <w:szCs w:val="28"/>
          <w:lang w:eastAsia="zh-CN"/>
        </w:rPr>
        <w:t>我院</w:t>
      </w:r>
      <w:r>
        <w:rPr>
          <w:rFonts w:ascii="仿宋" w:hAnsi="仿宋" w:eastAsia="仿宋" w:cs="仿宋"/>
          <w:spacing w:val="3"/>
          <w:sz w:val="28"/>
          <w:szCs w:val="28"/>
        </w:rPr>
        <w:t>第</w:t>
      </w:r>
      <w:r>
        <w:rPr>
          <w:rFonts w:hint="eastAsia" w:ascii="仿宋" w:hAnsi="仿宋" w:eastAsia="仿宋" w:cs="仿宋"/>
          <w:spacing w:val="3"/>
          <w:sz w:val="28"/>
          <w:szCs w:val="28"/>
          <w:lang w:val="en-US" w:eastAsia="zh-CN"/>
        </w:rPr>
        <w:t>一</w:t>
      </w:r>
      <w:r>
        <w:rPr>
          <w:rFonts w:ascii="仿宋" w:hAnsi="仿宋" w:eastAsia="仿宋" w:cs="仿宋"/>
          <w:spacing w:val="3"/>
          <w:sz w:val="28"/>
          <w:szCs w:val="28"/>
        </w:rPr>
        <w:t>学年学业奖学金分配表</w:t>
      </w:r>
    </w:p>
    <w:p w14:paraId="0D868E87">
      <w:pPr>
        <w:pStyle w:val="3"/>
        <w:spacing w:before="4"/>
        <w:rPr>
          <w:sz w:val="12"/>
        </w:rPr>
      </w:pPr>
    </w:p>
    <w:tbl>
      <w:tblPr>
        <w:tblStyle w:val="4"/>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81"/>
        <w:gridCol w:w="1620"/>
        <w:gridCol w:w="1548"/>
        <w:gridCol w:w="2537"/>
        <w:gridCol w:w="2376"/>
      </w:tblGrid>
      <w:tr w14:paraId="3F4B8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81" w:type="dxa"/>
            <w:tcBorders>
              <w:bottom w:val="single" w:color="auto" w:sz="4" w:space="0"/>
            </w:tcBorders>
          </w:tcPr>
          <w:p w14:paraId="54C13CAE">
            <w:pPr>
              <w:pStyle w:val="8"/>
              <w:spacing w:before="84"/>
              <w:ind w:left="500"/>
              <w:jc w:val="left"/>
              <w:rPr>
                <w:sz w:val="24"/>
              </w:rPr>
            </w:pPr>
            <w:r>
              <w:rPr>
                <w:sz w:val="24"/>
              </w:rPr>
              <w:t>类型</w:t>
            </w:r>
          </w:p>
        </w:tc>
        <w:tc>
          <w:tcPr>
            <w:tcW w:w="1620" w:type="dxa"/>
          </w:tcPr>
          <w:p w14:paraId="58D0E1C5">
            <w:pPr>
              <w:pStyle w:val="8"/>
              <w:spacing w:before="84"/>
              <w:ind w:left="549" w:right="531"/>
              <w:rPr>
                <w:sz w:val="24"/>
              </w:rPr>
            </w:pPr>
            <w:r>
              <w:rPr>
                <w:sz w:val="24"/>
              </w:rPr>
              <w:t>级别</w:t>
            </w:r>
          </w:p>
        </w:tc>
        <w:tc>
          <w:tcPr>
            <w:tcW w:w="1548" w:type="dxa"/>
            <w:tcBorders>
              <w:right w:val="single" w:color="000000" w:sz="4" w:space="0"/>
            </w:tcBorders>
          </w:tcPr>
          <w:p w14:paraId="54E1E644">
            <w:pPr>
              <w:pStyle w:val="8"/>
              <w:spacing w:before="84"/>
              <w:ind w:left="533"/>
              <w:jc w:val="left"/>
              <w:rPr>
                <w:rFonts w:hint="eastAsia" w:eastAsia="仿宋"/>
                <w:sz w:val="24"/>
                <w:lang w:eastAsia="zh-CN"/>
              </w:rPr>
            </w:pPr>
            <w:r>
              <w:rPr>
                <w:rFonts w:hint="eastAsia"/>
                <w:sz w:val="24"/>
                <w:lang w:val="en-US" w:eastAsia="zh-CN"/>
              </w:rPr>
              <w:t>符合条件</w:t>
            </w:r>
          </w:p>
        </w:tc>
        <w:tc>
          <w:tcPr>
            <w:tcW w:w="2537" w:type="dxa"/>
            <w:tcBorders>
              <w:left w:val="single" w:color="000000" w:sz="4" w:space="0"/>
            </w:tcBorders>
          </w:tcPr>
          <w:p w14:paraId="45B045D2">
            <w:pPr>
              <w:pStyle w:val="8"/>
              <w:spacing w:before="84"/>
              <w:ind w:left="1009" w:right="993"/>
              <w:rPr>
                <w:sz w:val="24"/>
              </w:rPr>
            </w:pPr>
            <w:r>
              <w:rPr>
                <w:sz w:val="24"/>
              </w:rPr>
              <w:t>人数</w:t>
            </w:r>
          </w:p>
        </w:tc>
        <w:tc>
          <w:tcPr>
            <w:tcW w:w="2376" w:type="dxa"/>
          </w:tcPr>
          <w:p w14:paraId="21C75A06">
            <w:pPr>
              <w:pStyle w:val="8"/>
              <w:spacing w:before="84"/>
              <w:ind w:left="262" w:right="254"/>
              <w:rPr>
                <w:sz w:val="24"/>
              </w:rPr>
            </w:pPr>
            <w:r>
              <w:rPr>
                <w:sz w:val="24"/>
              </w:rPr>
              <w:t>金额（万元/年）</w:t>
            </w:r>
          </w:p>
        </w:tc>
      </w:tr>
      <w:tr w14:paraId="614A7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81" w:type="dxa"/>
            <w:tcBorders>
              <w:bottom w:val="single" w:color="auto" w:sz="4" w:space="0"/>
            </w:tcBorders>
            <w:shd w:val="clear"/>
            <w:vAlign w:val="top"/>
          </w:tcPr>
          <w:p w14:paraId="12413386">
            <w:pPr>
              <w:pStyle w:val="8"/>
              <w:spacing w:before="84"/>
              <w:ind w:left="97" w:leftChars="0" w:right="0" w:rightChars="0" w:firstLine="480" w:firstLineChars="200"/>
              <w:jc w:val="both"/>
              <w:rPr>
                <w:rFonts w:hint="eastAsia" w:ascii="仿宋" w:hAnsi="仿宋" w:eastAsia="仿宋" w:cs="仿宋"/>
                <w:sz w:val="24"/>
                <w:szCs w:val="22"/>
                <w:lang w:val="en-US" w:eastAsia="zh-CN" w:bidi="zh-CN"/>
              </w:rPr>
            </w:pPr>
            <w:r>
              <w:rPr>
                <w:rFonts w:hint="eastAsia"/>
                <w:sz w:val="24"/>
                <w:lang w:val="en-US" w:eastAsia="zh-CN"/>
              </w:rPr>
              <w:t>博士</w:t>
            </w:r>
          </w:p>
        </w:tc>
        <w:tc>
          <w:tcPr>
            <w:tcW w:w="1620" w:type="dxa"/>
            <w:shd w:val="clear"/>
            <w:vAlign w:val="top"/>
          </w:tcPr>
          <w:p w14:paraId="2D6282C0">
            <w:pPr>
              <w:pStyle w:val="8"/>
              <w:spacing w:before="84"/>
              <w:ind w:left="549" w:leftChars="0" w:right="531" w:rightChars="0"/>
              <w:rPr>
                <w:rFonts w:hint="eastAsia" w:ascii="仿宋" w:hAnsi="仿宋" w:eastAsia="仿宋" w:cs="仿宋"/>
                <w:sz w:val="24"/>
                <w:szCs w:val="22"/>
                <w:lang w:val="en-US" w:eastAsia="zh-CN" w:bidi="zh-CN"/>
              </w:rPr>
            </w:pPr>
            <w:r>
              <w:rPr>
                <w:rFonts w:hint="eastAsia"/>
                <w:sz w:val="24"/>
                <w:lang w:val="en-US" w:eastAsia="zh-CN"/>
              </w:rPr>
              <w:t>一等</w:t>
            </w:r>
          </w:p>
        </w:tc>
        <w:tc>
          <w:tcPr>
            <w:tcW w:w="1548" w:type="dxa"/>
            <w:tcBorders>
              <w:right w:val="single" w:color="000000" w:sz="4" w:space="0"/>
            </w:tcBorders>
            <w:shd w:val="clear"/>
            <w:vAlign w:val="top"/>
          </w:tcPr>
          <w:p w14:paraId="2600DF26">
            <w:pPr>
              <w:pStyle w:val="8"/>
              <w:spacing w:before="84"/>
              <w:ind w:left="533" w:leftChars="0" w:right="0" w:rightChars="0"/>
              <w:jc w:val="left"/>
              <w:rPr>
                <w:rFonts w:hint="eastAsia" w:ascii="仿宋" w:hAnsi="仿宋" w:eastAsia="仿宋" w:cs="仿宋"/>
                <w:sz w:val="24"/>
                <w:szCs w:val="22"/>
                <w:lang w:val="en-US" w:eastAsia="zh-CN" w:bidi="zh-CN"/>
              </w:rPr>
            </w:pPr>
            <w:r>
              <w:rPr>
                <w:rFonts w:hint="eastAsia"/>
                <w:sz w:val="24"/>
                <w:lang w:val="en-US" w:eastAsia="zh-CN"/>
              </w:rPr>
              <w:t>100%</w:t>
            </w:r>
          </w:p>
        </w:tc>
        <w:tc>
          <w:tcPr>
            <w:tcW w:w="2537" w:type="dxa"/>
            <w:tcBorders>
              <w:left w:val="single" w:color="000000" w:sz="4" w:space="0"/>
            </w:tcBorders>
            <w:shd w:val="clear"/>
            <w:vAlign w:val="top"/>
          </w:tcPr>
          <w:p w14:paraId="18CB9EEF">
            <w:pPr>
              <w:pStyle w:val="8"/>
              <w:spacing w:before="84"/>
              <w:ind w:left="1009" w:leftChars="0" w:right="993" w:rightChars="0"/>
              <w:rPr>
                <w:rFonts w:hint="default" w:ascii="仿宋" w:hAnsi="仿宋" w:eastAsia="仿宋" w:cs="仿宋"/>
                <w:sz w:val="24"/>
                <w:szCs w:val="22"/>
                <w:lang w:val="en-US" w:eastAsia="zh-CN" w:bidi="zh-CN"/>
              </w:rPr>
            </w:pPr>
            <w:r>
              <w:rPr>
                <w:rFonts w:hint="eastAsia" w:cs="仿宋"/>
                <w:sz w:val="24"/>
                <w:szCs w:val="22"/>
                <w:lang w:val="en-US" w:eastAsia="zh-CN" w:bidi="zh-CN"/>
              </w:rPr>
              <w:t>1</w:t>
            </w:r>
          </w:p>
        </w:tc>
        <w:tc>
          <w:tcPr>
            <w:tcW w:w="2376" w:type="dxa"/>
            <w:shd w:val="clear"/>
            <w:vAlign w:val="top"/>
          </w:tcPr>
          <w:p w14:paraId="52675790">
            <w:pPr>
              <w:pStyle w:val="8"/>
              <w:spacing w:before="84"/>
              <w:ind w:left="262" w:leftChars="0" w:right="254" w:rightChars="0"/>
              <w:rPr>
                <w:rFonts w:hint="default" w:ascii="仿宋" w:hAnsi="仿宋" w:eastAsia="仿宋" w:cs="仿宋"/>
                <w:sz w:val="24"/>
                <w:szCs w:val="22"/>
                <w:lang w:val="en-US" w:eastAsia="zh-CN" w:bidi="zh-CN"/>
              </w:rPr>
            </w:pPr>
            <w:r>
              <w:rPr>
                <w:rFonts w:hint="eastAsia"/>
                <w:sz w:val="24"/>
                <w:lang w:val="en-US" w:eastAsia="zh-CN"/>
              </w:rPr>
              <w:t>1.8</w:t>
            </w:r>
          </w:p>
        </w:tc>
      </w:tr>
      <w:tr w14:paraId="50EAA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481" w:type="dxa"/>
            <w:vMerge w:val="restart"/>
            <w:tcBorders>
              <w:top w:val="single" w:color="auto" w:sz="4" w:space="0"/>
              <w:left w:val="single" w:color="auto" w:sz="4" w:space="0"/>
              <w:bottom w:val="single" w:color="auto" w:sz="4" w:space="0"/>
              <w:right w:val="single" w:color="auto" w:sz="4" w:space="0"/>
            </w:tcBorders>
          </w:tcPr>
          <w:p w14:paraId="35046F9E">
            <w:pPr>
              <w:pStyle w:val="8"/>
              <w:spacing w:before="0"/>
              <w:ind w:left="0"/>
              <w:jc w:val="left"/>
              <w:rPr>
                <w:sz w:val="24"/>
              </w:rPr>
            </w:pPr>
          </w:p>
          <w:p w14:paraId="3420EECC">
            <w:pPr>
              <w:pStyle w:val="8"/>
              <w:spacing w:before="3"/>
              <w:ind w:left="0"/>
              <w:jc w:val="left"/>
              <w:rPr>
                <w:sz w:val="26"/>
              </w:rPr>
            </w:pPr>
          </w:p>
          <w:p w14:paraId="304390B3">
            <w:pPr>
              <w:pStyle w:val="8"/>
              <w:spacing w:before="0" w:line="242" w:lineRule="auto"/>
              <w:ind w:left="620" w:right="600"/>
              <w:rPr>
                <w:sz w:val="24"/>
              </w:rPr>
            </w:pPr>
            <w:r>
              <w:rPr>
                <w:sz w:val="24"/>
              </w:rPr>
              <w:t>硕士</w:t>
            </w:r>
          </w:p>
        </w:tc>
        <w:tc>
          <w:tcPr>
            <w:tcW w:w="1620" w:type="dxa"/>
            <w:tcBorders>
              <w:left w:val="single" w:color="auto" w:sz="4" w:space="0"/>
            </w:tcBorders>
          </w:tcPr>
          <w:p w14:paraId="6DEBCC3F">
            <w:pPr>
              <w:pStyle w:val="8"/>
              <w:spacing w:before="158"/>
              <w:ind w:left="549" w:right="531"/>
              <w:rPr>
                <w:sz w:val="24"/>
              </w:rPr>
            </w:pPr>
            <w:r>
              <w:rPr>
                <w:sz w:val="24"/>
              </w:rPr>
              <w:t>一等</w:t>
            </w:r>
          </w:p>
        </w:tc>
        <w:tc>
          <w:tcPr>
            <w:tcW w:w="1548" w:type="dxa"/>
            <w:tcBorders>
              <w:right w:val="single" w:color="000000" w:sz="4" w:space="0"/>
            </w:tcBorders>
          </w:tcPr>
          <w:p w14:paraId="41D10082">
            <w:pPr>
              <w:pStyle w:val="8"/>
              <w:spacing w:before="158"/>
              <w:ind w:left="593"/>
              <w:jc w:val="both"/>
              <w:rPr>
                <w:rFonts w:hint="default" w:eastAsia="仿宋"/>
                <w:sz w:val="24"/>
                <w:lang w:val="en-US" w:eastAsia="zh-CN"/>
              </w:rPr>
            </w:pPr>
            <w:r>
              <w:rPr>
                <w:rFonts w:hint="eastAsia"/>
                <w:sz w:val="24"/>
                <w:lang w:val="en-US" w:eastAsia="zh-CN"/>
              </w:rPr>
              <w:t>推免</w:t>
            </w:r>
          </w:p>
        </w:tc>
        <w:tc>
          <w:tcPr>
            <w:tcW w:w="2537" w:type="dxa"/>
            <w:tcBorders>
              <w:left w:val="single" w:color="000000" w:sz="4" w:space="0"/>
            </w:tcBorders>
          </w:tcPr>
          <w:p w14:paraId="40219340">
            <w:pPr>
              <w:pStyle w:val="8"/>
              <w:spacing w:before="3" w:line="290" w:lineRule="exact"/>
              <w:ind w:left="519"/>
              <w:jc w:val="center"/>
              <w:rPr>
                <w:rFonts w:hint="eastAsia"/>
                <w:sz w:val="24"/>
                <w:lang w:val="en-US" w:eastAsia="zh-CN"/>
              </w:rPr>
            </w:pPr>
          </w:p>
          <w:p w14:paraId="7E4C2FF8">
            <w:pPr>
              <w:pStyle w:val="8"/>
              <w:spacing w:before="3" w:line="290" w:lineRule="exact"/>
              <w:ind w:left="519" w:firstLine="720" w:firstLineChars="300"/>
              <w:jc w:val="both"/>
              <w:rPr>
                <w:rFonts w:hint="default" w:eastAsia="仿宋"/>
                <w:sz w:val="24"/>
                <w:lang w:val="en-US" w:eastAsia="zh-CN"/>
              </w:rPr>
            </w:pPr>
            <w:r>
              <w:rPr>
                <w:rFonts w:hint="eastAsia"/>
                <w:sz w:val="24"/>
                <w:lang w:val="en-US" w:eastAsia="zh-CN"/>
              </w:rPr>
              <w:t>0</w:t>
            </w:r>
          </w:p>
        </w:tc>
        <w:tc>
          <w:tcPr>
            <w:tcW w:w="2376" w:type="dxa"/>
          </w:tcPr>
          <w:p w14:paraId="53C6C009">
            <w:pPr>
              <w:pStyle w:val="8"/>
              <w:spacing w:before="158"/>
              <w:ind w:left="262" w:right="254"/>
              <w:rPr>
                <w:rFonts w:hint="default" w:eastAsia="仿宋"/>
                <w:sz w:val="24"/>
                <w:lang w:val="en-US" w:eastAsia="zh-CN"/>
              </w:rPr>
            </w:pPr>
            <w:r>
              <w:rPr>
                <w:rFonts w:hint="eastAsia"/>
                <w:sz w:val="24"/>
                <w:lang w:val="en-US" w:eastAsia="zh-CN"/>
              </w:rPr>
              <w:t>1.2</w:t>
            </w:r>
          </w:p>
        </w:tc>
      </w:tr>
      <w:tr w14:paraId="678BE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481" w:type="dxa"/>
            <w:vMerge w:val="continue"/>
            <w:tcBorders>
              <w:top w:val="single" w:color="auto" w:sz="4" w:space="0"/>
              <w:left w:val="single" w:color="auto" w:sz="4" w:space="0"/>
              <w:bottom w:val="single" w:color="auto" w:sz="4" w:space="0"/>
              <w:right w:val="single" w:color="auto" w:sz="4" w:space="0"/>
            </w:tcBorders>
          </w:tcPr>
          <w:p w14:paraId="31F6CEDB">
            <w:pPr>
              <w:rPr>
                <w:sz w:val="2"/>
                <w:szCs w:val="2"/>
              </w:rPr>
            </w:pPr>
          </w:p>
        </w:tc>
        <w:tc>
          <w:tcPr>
            <w:tcW w:w="1620" w:type="dxa"/>
            <w:tcBorders>
              <w:left w:val="single" w:color="auto" w:sz="4" w:space="0"/>
            </w:tcBorders>
          </w:tcPr>
          <w:p w14:paraId="18C2682F">
            <w:pPr>
              <w:pStyle w:val="8"/>
              <w:spacing w:before="156"/>
              <w:ind w:left="549" w:right="531"/>
              <w:rPr>
                <w:sz w:val="24"/>
              </w:rPr>
            </w:pPr>
            <w:r>
              <w:rPr>
                <w:sz w:val="24"/>
              </w:rPr>
              <w:t>二等</w:t>
            </w:r>
          </w:p>
        </w:tc>
        <w:tc>
          <w:tcPr>
            <w:tcW w:w="1548" w:type="dxa"/>
            <w:tcBorders>
              <w:right w:val="single" w:color="000000" w:sz="4" w:space="0"/>
            </w:tcBorders>
          </w:tcPr>
          <w:p w14:paraId="23D7231A">
            <w:pPr>
              <w:pStyle w:val="8"/>
              <w:spacing w:before="158"/>
              <w:jc w:val="center"/>
              <w:rPr>
                <w:rFonts w:hint="eastAsia" w:eastAsia="仿宋"/>
                <w:sz w:val="24"/>
                <w:lang w:val="en-US" w:eastAsia="zh-CN"/>
              </w:rPr>
            </w:pPr>
            <w:r>
              <w:rPr>
                <w:rFonts w:hint="eastAsia"/>
                <w:sz w:val="24"/>
                <w:lang w:val="en-US" w:eastAsia="zh-CN"/>
              </w:rPr>
              <w:t>一志愿录取</w:t>
            </w:r>
          </w:p>
        </w:tc>
        <w:tc>
          <w:tcPr>
            <w:tcW w:w="2537" w:type="dxa"/>
            <w:tcBorders>
              <w:left w:val="single" w:color="000000" w:sz="4" w:space="0"/>
            </w:tcBorders>
          </w:tcPr>
          <w:p w14:paraId="65058E3B">
            <w:pPr>
              <w:pStyle w:val="8"/>
              <w:spacing w:before="5" w:line="289" w:lineRule="exact"/>
              <w:ind w:left="519" w:firstLine="720" w:firstLineChars="400"/>
              <w:jc w:val="both"/>
              <w:rPr>
                <w:rFonts w:hint="eastAsia"/>
                <w:spacing w:val="-30"/>
                <w:sz w:val="24"/>
                <w:lang w:val="en-US" w:eastAsia="zh-CN"/>
              </w:rPr>
            </w:pPr>
          </w:p>
          <w:p w14:paraId="49C03633">
            <w:pPr>
              <w:pStyle w:val="8"/>
              <w:spacing w:before="5" w:line="289" w:lineRule="exact"/>
              <w:ind w:left="519" w:firstLine="720" w:firstLineChars="400"/>
              <w:jc w:val="both"/>
              <w:rPr>
                <w:rFonts w:hint="default" w:eastAsia="仿宋"/>
                <w:spacing w:val="-30"/>
                <w:sz w:val="24"/>
                <w:lang w:val="en-US" w:eastAsia="zh-CN"/>
              </w:rPr>
            </w:pPr>
            <w:r>
              <w:rPr>
                <w:rFonts w:hint="eastAsia"/>
                <w:spacing w:val="-30"/>
                <w:sz w:val="24"/>
                <w:lang w:val="en-US" w:eastAsia="zh-CN"/>
              </w:rPr>
              <w:t>3</w:t>
            </w:r>
          </w:p>
        </w:tc>
        <w:tc>
          <w:tcPr>
            <w:tcW w:w="2376" w:type="dxa"/>
          </w:tcPr>
          <w:p w14:paraId="1904A7D8">
            <w:pPr>
              <w:pStyle w:val="8"/>
              <w:spacing w:before="156"/>
              <w:ind w:left="262" w:right="254"/>
              <w:rPr>
                <w:sz w:val="24"/>
              </w:rPr>
            </w:pPr>
            <w:r>
              <w:rPr>
                <w:sz w:val="24"/>
              </w:rPr>
              <w:t>0.9</w:t>
            </w:r>
          </w:p>
        </w:tc>
      </w:tr>
      <w:tr w14:paraId="6F440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481" w:type="dxa"/>
            <w:vMerge w:val="continue"/>
            <w:tcBorders>
              <w:top w:val="single" w:color="auto" w:sz="4" w:space="0"/>
              <w:left w:val="single" w:color="auto" w:sz="4" w:space="0"/>
              <w:bottom w:val="single" w:color="auto" w:sz="4" w:space="0"/>
              <w:right w:val="single" w:color="auto" w:sz="4" w:space="0"/>
            </w:tcBorders>
          </w:tcPr>
          <w:p w14:paraId="19C9D67F">
            <w:pPr>
              <w:rPr>
                <w:sz w:val="2"/>
                <w:szCs w:val="2"/>
              </w:rPr>
            </w:pPr>
          </w:p>
        </w:tc>
        <w:tc>
          <w:tcPr>
            <w:tcW w:w="1620" w:type="dxa"/>
            <w:tcBorders>
              <w:left w:val="single" w:color="auto" w:sz="4" w:space="0"/>
            </w:tcBorders>
          </w:tcPr>
          <w:p w14:paraId="2B12EDA2">
            <w:pPr>
              <w:pStyle w:val="8"/>
              <w:spacing w:before="158"/>
              <w:ind w:left="549" w:right="531"/>
              <w:rPr>
                <w:sz w:val="24"/>
              </w:rPr>
            </w:pPr>
            <w:r>
              <w:rPr>
                <w:sz w:val="24"/>
              </w:rPr>
              <w:t>三等</w:t>
            </w:r>
          </w:p>
        </w:tc>
        <w:tc>
          <w:tcPr>
            <w:tcW w:w="1548" w:type="dxa"/>
            <w:tcBorders>
              <w:right w:val="single" w:color="000000" w:sz="4" w:space="0"/>
            </w:tcBorders>
          </w:tcPr>
          <w:p w14:paraId="708F9010">
            <w:pPr>
              <w:pStyle w:val="8"/>
              <w:spacing w:before="158"/>
              <w:jc w:val="center"/>
              <w:rPr>
                <w:sz w:val="24"/>
              </w:rPr>
            </w:pPr>
            <w:r>
              <w:rPr>
                <w:rFonts w:hint="eastAsia"/>
                <w:sz w:val="24"/>
                <w:lang w:val="en-US" w:eastAsia="zh-CN"/>
              </w:rPr>
              <w:t>调剂录取</w:t>
            </w:r>
          </w:p>
        </w:tc>
        <w:tc>
          <w:tcPr>
            <w:tcW w:w="2537" w:type="dxa"/>
            <w:tcBorders>
              <w:left w:val="single" w:color="000000" w:sz="4" w:space="0"/>
            </w:tcBorders>
          </w:tcPr>
          <w:p w14:paraId="1EA21F13">
            <w:pPr>
              <w:pStyle w:val="8"/>
              <w:spacing w:before="3" w:line="290" w:lineRule="exact"/>
              <w:ind w:left="519" w:firstLine="720" w:firstLineChars="400"/>
              <w:jc w:val="both"/>
              <w:rPr>
                <w:rFonts w:hint="eastAsia"/>
                <w:spacing w:val="-30"/>
                <w:sz w:val="24"/>
                <w:lang w:val="en-US" w:eastAsia="zh-CN"/>
              </w:rPr>
            </w:pPr>
          </w:p>
          <w:p w14:paraId="3B131872">
            <w:pPr>
              <w:pStyle w:val="8"/>
              <w:spacing w:before="3" w:line="290" w:lineRule="exact"/>
              <w:ind w:left="519" w:firstLine="720" w:firstLineChars="400"/>
              <w:jc w:val="both"/>
              <w:rPr>
                <w:rFonts w:hint="default" w:eastAsia="仿宋"/>
                <w:spacing w:val="-30"/>
                <w:sz w:val="24"/>
                <w:lang w:val="en-US" w:eastAsia="zh-CN"/>
              </w:rPr>
            </w:pPr>
            <w:r>
              <w:rPr>
                <w:rFonts w:hint="eastAsia"/>
                <w:spacing w:val="-30"/>
                <w:sz w:val="24"/>
                <w:lang w:val="en-US" w:eastAsia="zh-CN"/>
              </w:rPr>
              <w:t>7</w:t>
            </w:r>
          </w:p>
        </w:tc>
        <w:tc>
          <w:tcPr>
            <w:tcW w:w="2376" w:type="dxa"/>
          </w:tcPr>
          <w:p w14:paraId="4A315CDE">
            <w:pPr>
              <w:pStyle w:val="8"/>
              <w:spacing w:before="158"/>
              <w:ind w:left="262" w:right="254"/>
              <w:rPr>
                <w:sz w:val="24"/>
              </w:rPr>
            </w:pPr>
            <w:r>
              <w:rPr>
                <w:sz w:val="24"/>
              </w:rPr>
              <w:t>0.6</w:t>
            </w:r>
          </w:p>
        </w:tc>
      </w:tr>
    </w:tbl>
    <w:p w14:paraId="20B21D7E">
      <w:pPr>
        <w:spacing w:before="0"/>
        <w:ind w:left="653" w:right="0" w:firstLine="1440" w:firstLineChars="600"/>
        <w:jc w:val="left"/>
        <w:rPr>
          <w:rFonts w:hint="eastAsia"/>
          <w:sz w:val="24"/>
          <w:lang w:val="en-US" w:eastAsia="zh-CN"/>
        </w:rPr>
      </w:pPr>
      <w:r>
        <w:rPr>
          <w:rFonts w:hint="eastAsia"/>
          <w:sz w:val="24"/>
          <w:lang w:val="en-US" w:eastAsia="zh-CN"/>
        </w:rPr>
        <w:t xml:space="preserve"> </w:t>
      </w:r>
    </w:p>
    <w:p w14:paraId="2C73FEC0">
      <w:pPr>
        <w:spacing w:before="0"/>
        <w:ind w:left="653" w:right="0" w:firstLine="1440" w:firstLineChars="600"/>
        <w:jc w:val="left"/>
        <w:rPr>
          <w:rFonts w:hint="eastAsia"/>
          <w:sz w:val="24"/>
          <w:lang w:val="en-US" w:eastAsia="zh-CN"/>
        </w:rPr>
      </w:pPr>
    </w:p>
    <w:p w14:paraId="5C718DB7">
      <w:pPr>
        <w:spacing w:before="238" w:line="293" w:lineRule="auto"/>
        <w:ind w:left="2638" w:right="311" w:hanging="2059"/>
        <w:jc w:val="center"/>
        <w:rPr>
          <w:rFonts w:ascii="仿宋" w:hAnsi="仿宋" w:eastAsia="仿宋" w:cs="仿宋"/>
          <w:spacing w:val="3"/>
          <w:sz w:val="28"/>
          <w:szCs w:val="28"/>
        </w:rPr>
      </w:pPr>
      <w:r>
        <w:rPr>
          <w:rFonts w:ascii="仿宋" w:hAnsi="仿宋" w:eastAsia="仿宋" w:cs="仿宋"/>
          <w:spacing w:val="3"/>
          <w:sz w:val="28"/>
          <w:szCs w:val="28"/>
        </w:rPr>
        <w:t>据上述学校文件制定</w:t>
      </w:r>
      <w:r>
        <w:rPr>
          <w:rFonts w:hint="eastAsia" w:ascii="仿宋" w:hAnsi="仿宋" w:eastAsia="仿宋" w:cs="仿宋"/>
          <w:spacing w:val="3"/>
          <w:sz w:val="28"/>
          <w:szCs w:val="28"/>
          <w:lang w:eastAsia="zh-CN"/>
        </w:rPr>
        <w:t>我院</w:t>
      </w:r>
      <w:r>
        <w:rPr>
          <w:rFonts w:ascii="仿宋" w:hAnsi="仿宋" w:eastAsia="仿宋" w:cs="仿宋"/>
          <w:spacing w:val="3"/>
          <w:sz w:val="28"/>
          <w:szCs w:val="28"/>
        </w:rPr>
        <w:t>第二、三学年学业奖学金分配表</w:t>
      </w:r>
    </w:p>
    <w:p w14:paraId="319629E3">
      <w:pPr>
        <w:pStyle w:val="3"/>
        <w:spacing w:before="4"/>
        <w:rPr>
          <w:sz w:val="12"/>
        </w:rPr>
      </w:pPr>
    </w:p>
    <w:tbl>
      <w:tblPr>
        <w:tblStyle w:val="4"/>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81"/>
        <w:gridCol w:w="1620"/>
        <w:gridCol w:w="1548"/>
        <w:gridCol w:w="2537"/>
        <w:gridCol w:w="2376"/>
      </w:tblGrid>
      <w:tr w14:paraId="036E7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81" w:type="dxa"/>
          </w:tcPr>
          <w:p w14:paraId="29F6D1C5">
            <w:pPr>
              <w:pStyle w:val="8"/>
              <w:spacing w:before="84"/>
              <w:ind w:left="500"/>
              <w:jc w:val="left"/>
              <w:rPr>
                <w:sz w:val="24"/>
              </w:rPr>
            </w:pPr>
            <w:r>
              <w:rPr>
                <w:sz w:val="24"/>
              </w:rPr>
              <w:t>类型</w:t>
            </w:r>
          </w:p>
        </w:tc>
        <w:tc>
          <w:tcPr>
            <w:tcW w:w="1620" w:type="dxa"/>
          </w:tcPr>
          <w:p w14:paraId="00A058F1">
            <w:pPr>
              <w:pStyle w:val="8"/>
              <w:spacing w:before="84"/>
              <w:ind w:left="549" w:right="531"/>
              <w:rPr>
                <w:sz w:val="24"/>
              </w:rPr>
            </w:pPr>
            <w:r>
              <w:rPr>
                <w:sz w:val="24"/>
              </w:rPr>
              <w:t>级别</w:t>
            </w:r>
          </w:p>
        </w:tc>
        <w:tc>
          <w:tcPr>
            <w:tcW w:w="1548" w:type="dxa"/>
            <w:tcBorders>
              <w:right w:val="single" w:color="000000" w:sz="4" w:space="0"/>
            </w:tcBorders>
          </w:tcPr>
          <w:p w14:paraId="30F7D178">
            <w:pPr>
              <w:pStyle w:val="8"/>
              <w:spacing w:before="84"/>
              <w:ind w:left="533"/>
              <w:jc w:val="left"/>
              <w:rPr>
                <w:sz w:val="24"/>
              </w:rPr>
            </w:pPr>
            <w:r>
              <w:rPr>
                <w:sz w:val="24"/>
              </w:rPr>
              <w:t>比例</w:t>
            </w:r>
          </w:p>
        </w:tc>
        <w:tc>
          <w:tcPr>
            <w:tcW w:w="2537" w:type="dxa"/>
            <w:tcBorders>
              <w:left w:val="single" w:color="000000" w:sz="4" w:space="0"/>
            </w:tcBorders>
          </w:tcPr>
          <w:p w14:paraId="59A22415">
            <w:pPr>
              <w:pStyle w:val="8"/>
              <w:spacing w:before="84"/>
              <w:ind w:left="1009" w:right="993"/>
              <w:rPr>
                <w:sz w:val="24"/>
              </w:rPr>
            </w:pPr>
            <w:r>
              <w:rPr>
                <w:sz w:val="24"/>
              </w:rPr>
              <w:t>人数</w:t>
            </w:r>
          </w:p>
        </w:tc>
        <w:tc>
          <w:tcPr>
            <w:tcW w:w="2376" w:type="dxa"/>
          </w:tcPr>
          <w:p w14:paraId="472B04D0">
            <w:pPr>
              <w:pStyle w:val="8"/>
              <w:spacing w:before="84"/>
              <w:ind w:left="262" w:right="254"/>
              <w:rPr>
                <w:sz w:val="24"/>
              </w:rPr>
            </w:pPr>
            <w:r>
              <w:rPr>
                <w:sz w:val="24"/>
              </w:rPr>
              <w:t>金额（万元/年）</w:t>
            </w:r>
          </w:p>
        </w:tc>
      </w:tr>
      <w:tr w14:paraId="2FB47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81" w:type="dxa"/>
            <w:tcBorders>
              <w:bottom w:val="single" w:color="auto" w:sz="4" w:space="0"/>
            </w:tcBorders>
          </w:tcPr>
          <w:p w14:paraId="71FF502C">
            <w:pPr>
              <w:pStyle w:val="8"/>
              <w:spacing w:before="84"/>
              <w:ind w:firstLine="480" w:firstLineChars="200"/>
              <w:jc w:val="both"/>
              <w:rPr>
                <w:rFonts w:hint="eastAsia" w:eastAsia="仿宋"/>
                <w:sz w:val="24"/>
                <w:lang w:val="en-US" w:eastAsia="zh-CN"/>
              </w:rPr>
            </w:pPr>
            <w:r>
              <w:rPr>
                <w:rFonts w:hint="eastAsia"/>
                <w:sz w:val="24"/>
                <w:lang w:val="en-US" w:eastAsia="zh-CN"/>
              </w:rPr>
              <w:t>博士</w:t>
            </w:r>
          </w:p>
        </w:tc>
        <w:tc>
          <w:tcPr>
            <w:tcW w:w="1620" w:type="dxa"/>
          </w:tcPr>
          <w:p w14:paraId="6F4C6ADA">
            <w:pPr>
              <w:pStyle w:val="8"/>
              <w:spacing w:before="84"/>
              <w:ind w:left="549" w:right="531"/>
              <w:rPr>
                <w:rFonts w:hint="eastAsia" w:eastAsia="仿宋"/>
                <w:sz w:val="24"/>
                <w:lang w:val="en-US" w:eastAsia="zh-CN"/>
              </w:rPr>
            </w:pPr>
            <w:r>
              <w:rPr>
                <w:rFonts w:hint="eastAsia"/>
                <w:sz w:val="24"/>
                <w:lang w:val="en-US" w:eastAsia="zh-CN"/>
              </w:rPr>
              <w:t>一等</w:t>
            </w:r>
          </w:p>
        </w:tc>
        <w:tc>
          <w:tcPr>
            <w:tcW w:w="1548" w:type="dxa"/>
            <w:tcBorders>
              <w:right w:val="single" w:color="000000" w:sz="4" w:space="0"/>
            </w:tcBorders>
          </w:tcPr>
          <w:p w14:paraId="6F6FCD99">
            <w:pPr>
              <w:pStyle w:val="8"/>
              <w:spacing w:before="84"/>
              <w:ind w:left="533"/>
              <w:jc w:val="left"/>
              <w:rPr>
                <w:rFonts w:hint="default" w:eastAsia="仿宋"/>
                <w:sz w:val="24"/>
                <w:lang w:val="en-US" w:eastAsia="zh-CN"/>
              </w:rPr>
            </w:pPr>
            <w:r>
              <w:rPr>
                <w:rFonts w:hint="eastAsia"/>
                <w:sz w:val="24"/>
                <w:lang w:val="en-US" w:eastAsia="zh-CN"/>
              </w:rPr>
              <w:t>100%</w:t>
            </w:r>
          </w:p>
        </w:tc>
        <w:tc>
          <w:tcPr>
            <w:tcW w:w="2537" w:type="dxa"/>
            <w:tcBorders>
              <w:left w:val="single" w:color="000000" w:sz="4" w:space="0"/>
            </w:tcBorders>
          </w:tcPr>
          <w:p w14:paraId="564E75F0">
            <w:pPr>
              <w:pStyle w:val="8"/>
              <w:spacing w:before="84"/>
              <w:ind w:left="1009" w:right="993"/>
              <w:rPr>
                <w:rFonts w:hint="eastAsia" w:eastAsia="仿宋"/>
                <w:sz w:val="24"/>
                <w:lang w:val="en-US" w:eastAsia="zh-CN"/>
              </w:rPr>
            </w:pPr>
            <w:r>
              <w:rPr>
                <w:rFonts w:hint="eastAsia"/>
                <w:sz w:val="24"/>
                <w:lang w:val="en-US" w:eastAsia="zh-CN"/>
              </w:rPr>
              <w:t>2</w:t>
            </w:r>
          </w:p>
        </w:tc>
        <w:tc>
          <w:tcPr>
            <w:tcW w:w="2376" w:type="dxa"/>
          </w:tcPr>
          <w:p w14:paraId="4822A689">
            <w:pPr>
              <w:pStyle w:val="8"/>
              <w:spacing w:before="84"/>
              <w:ind w:left="262" w:right="254"/>
              <w:rPr>
                <w:rFonts w:hint="default" w:eastAsia="仿宋"/>
                <w:sz w:val="24"/>
                <w:lang w:val="en-US" w:eastAsia="zh-CN"/>
              </w:rPr>
            </w:pPr>
            <w:r>
              <w:rPr>
                <w:rFonts w:hint="eastAsia"/>
                <w:sz w:val="24"/>
                <w:lang w:val="en-US" w:eastAsia="zh-CN"/>
              </w:rPr>
              <w:t>1.8</w:t>
            </w:r>
          </w:p>
        </w:tc>
      </w:tr>
      <w:tr w14:paraId="0F875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481" w:type="dxa"/>
            <w:vMerge w:val="restart"/>
            <w:tcBorders>
              <w:top w:val="single" w:color="auto" w:sz="4" w:space="0"/>
              <w:left w:val="single" w:color="auto" w:sz="4" w:space="0"/>
              <w:bottom w:val="single" w:color="auto" w:sz="4" w:space="0"/>
              <w:right w:val="single" w:color="auto" w:sz="4" w:space="0"/>
            </w:tcBorders>
          </w:tcPr>
          <w:p w14:paraId="16C288E0">
            <w:pPr>
              <w:pStyle w:val="8"/>
              <w:spacing w:before="0"/>
              <w:ind w:left="0"/>
              <w:jc w:val="left"/>
              <w:rPr>
                <w:sz w:val="24"/>
              </w:rPr>
            </w:pPr>
          </w:p>
          <w:p w14:paraId="53789526">
            <w:pPr>
              <w:pStyle w:val="8"/>
              <w:spacing w:before="3"/>
              <w:ind w:left="0"/>
              <w:jc w:val="left"/>
              <w:rPr>
                <w:sz w:val="26"/>
              </w:rPr>
            </w:pPr>
          </w:p>
          <w:p w14:paraId="5AD24BC0">
            <w:pPr>
              <w:pStyle w:val="8"/>
              <w:spacing w:before="0" w:line="242" w:lineRule="auto"/>
              <w:ind w:left="620" w:right="600"/>
              <w:rPr>
                <w:sz w:val="24"/>
              </w:rPr>
            </w:pPr>
            <w:r>
              <w:rPr>
                <w:rFonts w:hint="eastAsia"/>
                <w:sz w:val="24"/>
                <w:lang w:val="en-US" w:eastAsia="zh-CN"/>
              </w:rPr>
              <w:t>硕</w:t>
            </w:r>
            <w:r>
              <w:rPr>
                <w:sz w:val="24"/>
              </w:rPr>
              <w:t>士</w:t>
            </w:r>
          </w:p>
        </w:tc>
        <w:tc>
          <w:tcPr>
            <w:tcW w:w="1620" w:type="dxa"/>
            <w:tcBorders>
              <w:left w:val="single" w:color="auto" w:sz="4" w:space="0"/>
            </w:tcBorders>
          </w:tcPr>
          <w:p w14:paraId="10F8B764">
            <w:pPr>
              <w:pStyle w:val="8"/>
              <w:spacing w:before="158"/>
              <w:ind w:left="549" w:right="531"/>
              <w:rPr>
                <w:sz w:val="24"/>
              </w:rPr>
            </w:pPr>
            <w:r>
              <w:rPr>
                <w:sz w:val="24"/>
              </w:rPr>
              <w:t>一等</w:t>
            </w:r>
          </w:p>
        </w:tc>
        <w:tc>
          <w:tcPr>
            <w:tcW w:w="1548" w:type="dxa"/>
            <w:tcBorders>
              <w:right w:val="single" w:color="000000" w:sz="4" w:space="0"/>
            </w:tcBorders>
          </w:tcPr>
          <w:p w14:paraId="18C90A67">
            <w:pPr>
              <w:pStyle w:val="8"/>
              <w:spacing w:before="158"/>
              <w:ind w:left="593"/>
              <w:jc w:val="left"/>
              <w:rPr>
                <w:sz w:val="24"/>
              </w:rPr>
            </w:pPr>
            <w:r>
              <w:rPr>
                <w:rFonts w:hint="eastAsia"/>
                <w:sz w:val="24"/>
                <w:lang w:val="en-US" w:eastAsia="zh-CN"/>
              </w:rPr>
              <w:t>20</w:t>
            </w:r>
            <w:r>
              <w:rPr>
                <w:sz w:val="24"/>
              </w:rPr>
              <w:t>%</w:t>
            </w:r>
          </w:p>
        </w:tc>
        <w:tc>
          <w:tcPr>
            <w:tcW w:w="2537" w:type="dxa"/>
            <w:tcBorders>
              <w:left w:val="single" w:color="000000" w:sz="4" w:space="0"/>
            </w:tcBorders>
          </w:tcPr>
          <w:p w14:paraId="4AD9491C">
            <w:pPr>
              <w:pStyle w:val="8"/>
              <w:spacing w:before="2"/>
              <w:ind w:left="519"/>
              <w:jc w:val="center"/>
              <w:rPr>
                <w:sz w:val="24"/>
              </w:rPr>
            </w:pPr>
            <w:r>
              <w:rPr>
                <w:sz w:val="24"/>
              </w:rPr>
              <w:t>20</w:t>
            </w:r>
            <w:r>
              <w:rPr>
                <w:rFonts w:hint="eastAsia"/>
                <w:sz w:val="24"/>
                <w:lang w:val="en-US" w:eastAsia="zh-CN"/>
              </w:rPr>
              <w:t>23</w:t>
            </w:r>
            <w:r>
              <w:rPr>
                <w:spacing w:val="-30"/>
                <w:sz w:val="24"/>
              </w:rPr>
              <w:t xml:space="preserve"> 级</w:t>
            </w:r>
            <w:r>
              <w:rPr>
                <w:rFonts w:hint="eastAsia"/>
                <w:spacing w:val="-30"/>
                <w:sz w:val="24"/>
                <w:lang w:val="en-US" w:eastAsia="zh-CN"/>
              </w:rPr>
              <w:t>硕士</w:t>
            </w:r>
            <w:r>
              <w:rPr>
                <w:spacing w:val="-30"/>
                <w:sz w:val="24"/>
              </w:rPr>
              <w:t xml:space="preserve"> </w:t>
            </w:r>
            <w:r>
              <w:rPr>
                <w:rFonts w:hint="eastAsia"/>
                <w:spacing w:val="-30"/>
                <w:sz w:val="24"/>
                <w:lang w:val="en-US" w:eastAsia="zh-CN"/>
              </w:rPr>
              <w:t xml:space="preserve"> 2</w:t>
            </w:r>
            <w:r>
              <w:rPr>
                <w:spacing w:val="-30"/>
                <w:sz w:val="24"/>
              </w:rPr>
              <w:t>个</w:t>
            </w:r>
          </w:p>
          <w:p w14:paraId="3166D104">
            <w:pPr>
              <w:pStyle w:val="8"/>
              <w:spacing w:before="3" w:line="290" w:lineRule="exact"/>
              <w:ind w:left="519"/>
              <w:jc w:val="center"/>
              <w:rPr>
                <w:sz w:val="24"/>
              </w:rPr>
            </w:pPr>
            <w:r>
              <w:rPr>
                <w:sz w:val="24"/>
              </w:rPr>
              <w:t>20</w:t>
            </w:r>
            <w:r>
              <w:rPr>
                <w:rFonts w:hint="eastAsia"/>
                <w:sz w:val="24"/>
                <w:lang w:val="en-US" w:eastAsia="zh-CN"/>
              </w:rPr>
              <w:t>24</w:t>
            </w:r>
            <w:r>
              <w:rPr>
                <w:spacing w:val="-30"/>
                <w:sz w:val="24"/>
              </w:rPr>
              <w:t xml:space="preserve"> 级硕</w:t>
            </w:r>
            <w:r>
              <w:rPr>
                <w:rFonts w:hint="eastAsia"/>
                <w:spacing w:val="-30"/>
                <w:sz w:val="24"/>
                <w:lang w:val="en-US" w:eastAsia="zh-CN"/>
              </w:rPr>
              <w:t>士</w:t>
            </w:r>
            <w:r>
              <w:rPr>
                <w:spacing w:val="-30"/>
                <w:sz w:val="24"/>
              </w:rPr>
              <w:t xml:space="preserve"> </w:t>
            </w:r>
            <w:r>
              <w:rPr>
                <w:rFonts w:hint="eastAsia"/>
                <w:spacing w:val="-30"/>
                <w:sz w:val="24"/>
                <w:lang w:val="en-US" w:eastAsia="zh-CN"/>
              </w:rPr>
              <w:t xml:space="preserve"> 2</w:t>
            </w:r>
            <w:r>
              <w:rPr>
                <w:spacing w:val="-30"/>
                <w:sz w:val="24"/>
              </w:rPr>
              <w:t>个</w:t>
            </w:r>
          </w:p>
        </w:tc>
        <w:tc>
          <w:tcPr>
            <w:tcW w:w="2376" w:type="dxa"/>
          </w:tcPr>
          <w:p w14:paraId="4DD5CF2C">
            <w:pPr>
              <w:pStyle w:val="8"/>
              <w:spacing w:before="158"/>
              <w:ind w:left="262" w:right="254"/>
              <w:rPr>
                <w:sz w:val="24"/>
              </w:rPr>
            </w:pPr>
            <w:r>
              <w:rPr>
                <w:sz w:val="24"/>
              </w:rPr>
              <w:t>1.2</w:t>
            </w:r>
          </w:p>
        </w:tc>
      </w:tr>
      <w:tr w14:paraId="6D8F3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trPr>
        <w:tc>
          <w:tcPr>
            <w:tcW w:w="1481" w:type="dxa"/>
            <w:vMerge w:val="continue"/>
            <w:tcBorders>
              <w:top w:val="single" w:color="auto" w:sz="4" w:space="0"/>
              <w:left w:val="single" w:color="auto" w:sz="4" w:space="0"/>
              <w:bottom w:val="single" w:color="auto" w:sz="4" w:space="0"/>
              <w:right w:val="single" w:color="auto" w:sz="4" w:space="0"/>
            </w:tcBorders>
          </w:tcPr>
          <w:p w14:paraId="4480E0EA">
            <w:pPr>
              <w:rPr>
                <w:sz w:val="2"/>
                <w:szCs w:val="2"/>
              </w:rPr>
            </w:pPr>
          </w:p>
        </w:tc>
        <w:tc>
          <w:tcPr>
            <w:tcW w:w="1620" w:type="dxa"/>
            <w:tcBorders>
              <w:left w:val="single" w:color="auto" w:sz="4" w:space="0"/>
            </w:tcBorders>
          </w:tcPr>
          <w:p w14:paraId="22CC7BF9">
            <w:pPr>
              <w:pStyle w:val="8"/>
              <w:spacing w:before="156"/>
              <w:ind w:left="549" w:right="531"/>
              <w:rPr>
                <w:sz w:val="24"/>
              </w:rPr>
            </w:pPr>
            <w:r>
              <w:rPr>
                <w:sz w:val="24"/>
              </w:rPr>
              <w:t>二等</w:t>
            </w:r>
          </w:p>
        </w:tc>
        <w:tc>
          <w:tcPr>
            <w:tcW w:w="1548" w:type="dxa"/>
            <w:tcBorders>
              <w:right w:val="single" w:color="000000" w:sz="4" w:space="0"/>
            </w:tcBorders>
          </w:tcPr>
          <w:p w14:paraId="091FF91D">
            <w:pPr>
              <w:pStyle w:val="8"/>
              <w:spacing w:before="158"/>
              <w:ind w:left="593"/>
              <w:jc w:val="left"/>
              <w:rPr>
                <w:sz w:val="24"/>
              </w:rPr>
            </w:pPr>
            <w:r>
              <w:rPr>
                <w:rFonts w:hint="eastAsia"/>
                <w:sz w:val="24"/>
                <w:lang w:val="en-US" w:eastAsia="zh-CN"/>
              </w:rPr>
              <w:t>6</w:t>
            </w:r>
            <w:r>
              <w:rPr>
                <w:sz w:val="24"/>
              </w:rPr>
              <w:t>0%</w:t>
            </w:r>
          </w:p>
        </w:tc>
        <w:tc>
          <w:tcPr>
            <w:tcW w:w="2537" w:type="dxa"/>
            <w:tcBorders>
              <w:left w:val="single" w:color="000000" w:sz="4" w:space="0"/>
            </w:tcBorders>
          </w:tcPr>
          <w:p w14:paraId="56E1785E">
            <w:pPr>
              <w:pStyle w:val="8"/>
              <w:spacing w:before="5" w:line="289" w:lineRule="exact"/>
              <w:ind w:left="0" w:leftChars="0" w:firstLine="0" w:firstLineChars="0"/>
              <w:jc w:val="center"/>
              <w:rPr>
                <w:spacing w:val="-30"/>
                <w:sz w:val="24"/>
              </w:rPr>
            </w:pPr>
            <w:r>
              <w:rPr>
                <w:rFonts w:hint="eastAsia"/>
                <w:sz w:val="24"/>
                <w:lang w:val="en-US" w:eastAsia="zh-CN"/>
              </w:rPr>
              <w:t xml:space="preserve">     </w:t>
            </w:r>
            <w:r>
              <w:rPr>
                <w:sz w:val="24"/>
              </w:rPr>
              <w:t>20</w:t>
            </w:r>
            <w:r>
              <w:rPr>
                <w:rFonts w:hint="eastAsia"/>
                <w:sz w:val="24"/>
                <w:lang w:val="en-US" w:eastAsia="zh-CN"/>
              </w:rPr>
              <w:t xml:space="preserve">23 </w:t>
            </w:r>
            <w:r>
              <w:rPr>
                <w:spacing w:val="-30"/>
                <w:sz w:val="24"/>
              </w:rPr>
              <w:t>级硕</w:t>
            </w:r>
            <w:r>
              <w:rPr>
                <w:rFonts w:hint="eastAsia"/>
                <w:spacing w:val="-30"/>
                <w:sz w:val="24"/>
                <w:lang w:val="en-US" w:eastAsia="zh-CN"/>
              </w:rPr>
              <w:t>士</w:t>
            </w:r>
            <w:r>
              <w:rPr>
                <w:spacing w:val="-30"/>
                <w:sz w:val="24"/>
              </w:rPr>
              <w:t xml:space="preserve"> </w:t>
            </w:r>
            <w:r>
              <w:rPr>
                <w:rFonts w:hint="eastAsia"/>
                <w:spacing w:val="-30"/>
                <w:sz w:val="24"/>
                <w:lang w:val="en-US" w:eastAsia="zh-CN"/>
              </w:rPr>
              <w:t xml:space="preserve"> 6</w:t>
            </w:r>
            <w:r>
              <w:rPr>
                <w:spacing w:val="-30"/>
                <w:sz w:val="24"/>
              </w:rPr>
              <w:t>个</w:t>
            </w:r>
          </w:p>
          <w:p w14:paraId="3C951C0B">
            <w:pPr>
              <w:pStyle w:val="8"/>
              <w:spacing w:before="5" w:line="289" w:lineRule="exact"/>
              <w:ind w:firstLine="480" w:firstLineChars="200"/>
              <w:jc w:val="center"/>
              <w:rPr>
                <w:rFonts w:hint="default" w:eastAsia="仿宋"/>
                <w:spacing w:val="-30"/>
                <w:sz w:val="24"/>
                <w:lang w:val="en-US" w:eastAsia="zh-CN"/>
              </w:rPr>
            </w:pPr>
            <w:r>
              <w:rPr>
                <w:rFonts w:hint="eastAsia"/>
                <w:sz w:val="24"/>
                <w:lang w:val="en-US" w:eastAsia="zh-CN"/>
              </w:rPr>
              <w:t xml:space="preserve">2024 </w:t>
            </w:r>
            <w:r>
              <w:rPr>
                <w:rFonts w:hint="eastAsia"/>
                <w:spacing w:val="-30"/>
                <w:sz w:val="24"/>
                <w:lang w:val="en-US" w:eastAsia="zh-CN"/>
              </w:rPr>
              <w:t>级硕士  6个</w:t>
            </w:r>
          </w:p>
        </w:tc>
        <w:tc>
          <w:tcPr>
            <w:tcW w:w="2376" w:type="dxa"/>
          </w:tcPr>
          <w:p w14:paraId="1ADADC6D">
            <w:pPr>
              <w:pStyle w:val="8"/>
              <w:spacing w:before="156"/>
              <w:ind w:left="262" w:right="254"/>
              <w:rPr>
                <w:sz w:val="24"/>
              </w:rPr>
            </w:pPr>
            <w:r>
              <w:rPr>
                <w:sz w:val="24"/>
              </w:rPr>
              <w:t>0.9</w:t>
            </w:r>
          </w:p>
        </w:tc>
      </w:tr>
      <w:tr w14:paraId="60C5A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481" w:type="dxa"/>
            <w:vMerge w:val="continue"/>
            <w:tcBorders>
              <w:top w:val="single" w:color="auto" w:sz="4" w:space="0"/>
              <w:left w:val="single" w:color="auto" w:sz="4" w:space="0"/>
              <w:bottom w:val="single" w:color="auto" w:sz="4" w:space="0"/>
              <w:right w:val="single" w:color="auto" w:sz="4" w:space="0"/>
            </w:tcBorders>
          </w:tcPr>
          <w:p w14:paraId="4B889928">
            <w:pPr>
              <w:rPr>
                <w:sz w:val="2"/>
                <w:szCs w:val="2"/>
              </w:rPr>
            </w:pPr>
          </w:p>
        </w:tc>
        <w:tc>
          <w:tcPr>
            <w:tcW w:w="1620" w:type="dxa"/>
            <w:tcBorders>
              <w:left w:val="single" w:color="auto" w:sz="4" w:space="0"/>
            </w:tcBorders>
          </w:tcPr>
          <w:p w14:paraId="1759FE06">
            <w:pPr>
              <w:pStyle w:val="8"/>
              <w:spacing w:before="158"/>
              <w:ind w:left="549" w:right="531"/>
              <w:rPr>
                <w:sz w:val="24"/>
              </w:rPr>
            </w:pPr>
            <w:r>
              <w:rPr>
                <w:sz w:val="24"/>
              </w:rPr>
              <w:t>三等</w:t>
            </w:r>
          </w:p>
        </w:tc>
        <w:tc>
          <w:tcPr>
            <w:tcW w:w="1548" w:type="dxa"/>
            <w:tcBorders>
              <w:right w:val="single" w:color="000000" w:sz="4" w:space="0"/>
            </w:tcBorders>
          </w:tcPr>
          <w:p w14:paraId="51E8379B">
            <w:pPr>
              <w:pStyle w:val="8"/>
              <w:spacing w:before="158"/>
              <w:ind w:left="593"/>
              <w:jc w:val="left"/>
              <w:rPr>
                <w:sz w:val="24"/>
              </w:rPr>
            </w:pPr>
            <w:r>
              <w:rPr>
                <w:rFonts w:hint="eastAsia"/>
                <w:sz w:val="24"/>
                <w:lang w:val="en-US" w:eastAsia="zh-CN"/>
              </w:rPr>
              <w:t>20</w:t>
            </w:r>
            <w:r>
              <w:rPr>
                <w:sz w:val="24"/>
              </w:rPr>
              <w:t>%</w:t>
            </w:r>
          </w:p>
        </w:tc>
        <w:tc>
          <w:tcPr>
            <w:tcW w:w="2537" w:type="dxa"/>
            <w:tcBorders>
              <w:left w:val="single" w:color="000000" w:sz="4" w:space="0"/>
            </w:tcBorders>
          </w:tcPr>
          <w:p w14:paraId="08DC4E0A">
            <w:pPr>
              <w:pStyle w:val="8"/>
              <w:spacing w:before="3" w:line="290" w:lineRule="exact"/>
              <w:ind w:firstLine="480" w:firstLineChars="200"/>
              <w:jc w:val="center"/>
              <w:rPr>
                <w:spacing w:val="-30"/>
                <w:sz w:val="24"/>
              </w:rPr>
            </w:pPr>
            <w:r>
              <w:rPr>
                <w:sz w:val="24"/>
              </w:rPr>
              <w:t>20</w:t>
            </w:r>
            <w:r>
              <w:rPr>
                <w:rFonts w:hint="eastAsia"/>
                <w:sz w:val="24"/>
                <w:lang w:val="en-US" w:eastAsia="zh-CN"/>
              </w:rPr>
              <w:t>23</w:t>
            </w:r>
            <w:r>
              <w:rPr>
                <w:spacing w:val="-30"/>
                <w:sz w:val="24"/>
              </w:rPr>
              <w:t xml:space="preserve"> 级</w:t>
            </w:r>
            <w:r>
              <w:rPr>
                <w:rFonts w:hint="eastAsia"/>
                <w:spacing w:val="-30"/>
                <w:sz w:val="24"/>
                <w:lang w:val="en-US" w:eastAsia="zh-CN"/>
              </w:rPr>
              <w:t>硕士</w:t>
            </w:r>
            <w:r>
              <w:rPr>
                <w:spacing w:val="-30"/>
                <w:sz w:val="24"/>
              </w:rPr>
              <w:t xml:space="preserve"> </w:t>
            </w:r>
            <w:r>
              <w:rPr>
                <w:rFonts w:hint="eastAsia"/>
                <w:spacing w:val="-30"/>
                <w:sz w:val="24"/>
                <w:lang w:val="en-US" w:eastAsia="zh-CN"/>
              </w:rPr>
              <w:t xml:space="preserve"> 2</w:t>
            </w:r>
            <w:r>
              <w:rPr>
                <w:spacing w:val="-30"/>
                <w:sz w:val="24"/>
              </w:rPr>
              <w:t>个</w:t>
            </w:r>
          </w:p>
          <w:p w14:paraId="3211B1A9">
            <w:pPr>
              <w:pStyle w:val="8"/>
              <w:spacing w:before="3" w:line="290" w:lineRule="exact"/>
              <w:ind w:firstLine="480" w:firstLineChars="200"/>
              <w:jc w:val="center"/>
              <w:rPr>
                <w:rFonts w:hint="default" w:eastAsia="仿宋"/>
                <w:spacing w:val="-30"/>
                <w:sz w:val="24"/>
                <w:lang w:val="en-US" w:eastAsia="zh-CN"/>
              </w:rPr>
            </w:pPr>
            <w:r>
              <w:rPr>
                <w:rFonts w:hint="eastAsia"/>
                <w:sz w:val="24"/>
                <w:lang w:val="en-US" w:eastAsia="zh-CN"/>
              </w:rPr>
              <w:t xml:space="preserve"> 2024 级硕士 2个</w:t>
            </w:r>
          </w:p>
        </w:tc>
        <w:tc>
          <w:tcPr>
            <w:tcW w:w="2376" w:type="dxa"/>
          </w:tcPr>
          <w:p w14:paraId="5A81F4E8">
            <w:pPr>
              <w:pStyle w:val="8"/>
              <w:spacing w:before="158"/>
              <w:ind w:left="262" w:right="254"/>
              <w:rPr>
                <w:sz w:val="24"/>
              </w:rPr>
            </w:pPr>
            <w:r>
              <w:rPr>
                <w:sz w:val="24"/>
              </w:rPr>
              <w:t>0.6</w:t>
            </w:r>
          </w:p>
        </w:tc>
      </w:tr>
    </w:tbl>
    <w:p w14:paraId="76F2B324">
      <w:pPr>
        <w:spacing w:after="0"/>
        <w:rPr>
          <w:rFonts w:hint="default" w:eastAsia="仿宋"/>
          <w:sz w:val="24"/>
          <w:lang w:val="en-US" w:eastAsia="zh-CN"/>
        </w:rPr>
        <w:sectPr>
          <w:pgSz w:w="11910" w:h="16840"/>
          <w:pgMar w:top="1400" w:right="520" w:bottom="280" w:left="1580" w:header="720" w:footer="720" w:gutter="0"/>
          <w:cols w:space="720" w:num="1"/>
        </w:sectPr>
      </w:pPr>
    </w:p>
    <w:p w14:paraId="506AD124">
      <w:pPr>
        <w:pStyle w:val="2"/>
        <w:spacing w:before="42"/>
        <w:ind w:left="3302" w:right="4359"/>
        <w:jc w:val="center"/>
      </w:pPr>
      <w:r>
        <w:t>第三章 评定程序</w:t>
      </w:r>
    </w:p>
    <w:p w14:paraId="17AF46CE">
      <w:pPr>
        <w:pStyle w:val="3"/>
        <w:spacing w:before="11"/>
        <w:rPr>
          <w:b/>
          <w:sz w:val="23"/>
        </w:rPr>
      </w:pPr>
    </w:p>
    <w:p w14:paraId="1F1983D6">
      <w:pPr>
        <w:pStyle w:val="3"/>
        <w:ind w:left="220"/>
        <w:jc w:val="both"/>
      </w:pPr>
      <w:r>
        <w:t>第六条 评定程序</w:t>
      </w:r>
    </w:p>
    <w:p w14:paraId="704E3555">
      <w:pPr>
        <w:pStyle w:val="3"/>
        <w:spacing w:before="186" w:line="364" w:lineRule="auto"/>
        <w:ind w:left="219" w:right="1276" w:firstLine="560"/>
        <w:jc w:val="both"/>
      </w:pPr>
      <w:r>
        <w:rPr>
          <w:rFonts w:hint="eastAsia"/>
          <w:spacing w:val="-5"/>
          <w:lang w:eastAsia="zh-CN"/>
        </w:rPr>
        <w:t>学院</w:t>
      </w:r>
      <w:r>
        <w:rPr>
          <w:spacing w:val="-11"/>
        </w:rPr>
        <w:t>成立研究生奖学金评审委员会，负责本专业研究生学业奖学金的申</w:t>
      </w:r>
      <w:r>
        <w:rPr>
          <w:spacing w:val="-12"/>
        </w:rPr>
        <w:t>请组织、初步评审等工作。</w:t>
      </w:r>
    </w:p>
    <w:p w14:paraId="7E4C04A9">
      <w:pPr>
        <w:pStyle w:val="3"/>
        <w:spacing w:line="364" w:lineRule="auto"/>
        <w:ind w:left="219" w:right="1276" w:firstLine="560"/>
      </w:pPr>
      <w:r>
        <w:t>（一</w:t>
      </w:r>
      <w:r>
        <w:rPr>
          <w:spacing w:val="-47"/>
        </w:rPr>
        <w:t>）</w:t>
      </w:r>
      <w:r>
        <w:rPr>
          <w:spacing w:val="-6"/>
        </w:rPr>
        <w:t>第一学年奖学金：由南京中医药大学评审领导小组在研究生新生入学后，按照学校确定的比例，统一组织评定、公示。</w:t>
      </w:r>
    </w:p>
    <w:p w14:paraId="77BE9055">
      <w:pPr>
        <w:pStyle w:val="3"/>
        <w:spacing w:line="364" w:lineRule="auto"/>
        <w:ind w:left="219" w:right="1275" w:firstLine="560"/>
        <w:rPr>
          <w:rFonts w:hint="eastAsia" w:eastAsia="仿宋"/>
          <w:lang w:eastAsia="zh-CN"/>
        </w:rPr>
      </w:pPr>
      <w:r>
        <w:t>（二</w:t>
      </w:r>
      <w:r>
        <w:rPr>
          <w:spacing w:val="-23"/>
        </w:rPr>
        <w:t>）</w:t>
      </w:r>
      <w:r>
        <w:rPr>
          <w:spacing w:val="-8"/>
        </w:rPr>
        <w:t>第二、三学年奖学金：</w:t>
      </w:r>
      <w:r>
        <w:rPr>
          <w:rFonts w:hint="eastAsia"/>
          <w:spacing w:val="-8"/>
        </w:rPr>
        <w:t>每年下半年进行评审，研究生提供的评审材料截止时间为</w:t>
      </w:r>
      <w:r>
        <w:rPr>
          <w:rFonts w:hint="eastAsia"/>
          <w:spacing w:val="-8"/>
          <w:lang w:val="en-US" w:eastAsia="zh-CN"/>
        </w:rPr>
        <w:t>相应奖学金申请材料提交截止日期</w:t>
      </w:r>
      <w:bookmarkStart w:id="0" w:name="_GoBack"/>
      <w:bookmarkEnd w:id="0"/>
      <w:r>
        <w:rPr>
          <w:rFonts w:hint="eastAsia"/>
          <w:spacing w:val="-8"/>
        </w:rPr>
        <w:t>。</w:t>
      </w:r>
    </w:p>
    <w:p w14:paraId="7BBC0A5D">
      <w:pPr>
        <w:pStyle w:val="7"/>
        <w:numPr>
          <w:ilvl w:val="0"/>
          <w:numId w:val="1"/>
        </w:numPr>
        <w:tabs>
          <w:tab w:val="left" w:pos="1203"/>
        </w:tabs>
        <w:spacing w:before="0" w:after="0" w:line="364" w:lineRule="auto"/>
        <w:ind w:left="220" w:right="1274" w:firstLine="700"/>
        <w:jc w:val="left"/>
        <w:rPr>
          <w:sz w:val="28"/>
        </w:rPr>
      </w:pPr>
      <w:r>
        <w:rPr>
          <w:spacing w:val="-1"/>
          <w:sz w:val="28"/>
        </w:rPr>
        <w:t>研究生根据本人情况进行自愿申报</w:t>
      </w:r>
      <w:r>
        <w:rPr>
          <w:rFonts w:hint="eastAsia"/>
          <w:spacing w:val="-1"/>
          <w:sz w:val="28"/>
          <w:lang w:eastAsia="zh-CN"/>
        </w:rPr>
        <w:t>；</w:t>
      </w:r>
    </w:p>
    <w:p w14:paraId="4CFBA33E">
      <w:pPr>
        <w:pStyle w:val="7"/>
        <w:numPr>
          <w:ilvl w:val="0"/>
          <w:numId w:val="1"/>
        </w:numPr>
        <w:tabs>
          <w:tab w:val="left" w:pos="1062"/>
        </w:tabs>
        <w:spacing w:before="0" w:after="0" w:line="364" w:lineRule="auto"/>
        <w:ind w:left="219" w:right="1136" w:firstLine="560"/>
        <w:jc w:val="left"/>
        <w:rPr>
          <w:sz w:val="28"/>
        </w:rPr>
      </w:pPr>
      <w:r>
        <w:rPr>
          <w:sz w:val="28"/>
        </w:rPr>
        <w:t>研究生个人按照自身思想品德、科学研究（科研成果获奖+课题论文著作</w:t>
      </w:r>
      <w:r>
        <w:rPr>
          <w:spacing w:val="-23"/>
          <w:sz w:val="28"/>
        </w:rPr>
        <w:t>）</w:t>
      </w:r>
      <w:r>
        <w:rPr>
          <w:spacing w:val="-10"/>
          <w:sz w:val="28"/>
        </w:rPr>
        <w:t>、社会活动获奖、兼职工作、研究生学习成绩五大部分分类汇总并提交相关原件及电子版至</w:t>
      </w:r>
      <w:r>
        <w:rPr>
          <w:rFonts w:hint="eastAsia"/>
          <w:spacing w:val="-10"/>
          <w:sz w:val="28"/>
          <w:lang w:eastAsia="zh-CN"/>
        </w:rPr>
        <w:t>学院</w:t>
      </w:r>
      <w:r>
        <w:rPr>
          <w:spacing w:val="-10"/>
          <w:sz w:val="28"/>
        </w:rPr>
        <w:t>研究生管理工作办公室</w:t>
      </w:r>
      <w:r>
        <w:rPr>
          <w:spacing w:val="-14"/>
          <w:sz w:val="28"/>
        </w:rPr>
        <w:t>进行初步审核</w:t>
      </w:r>
      <w:r>
        <w:rPr>
          <w:sz w:val="28"/>
        </w:rPr>
        <w:t>（证明材料包括原件和复印件一份</w:t>
      </w:r>
      <w:r>
        <w:rPr>
          <w:spacing w:val="-32"/>
          <w:sz w:val="28"/>
        </w:rPr>
        <w:t>）；</w:t>
      </w:r>
    </w:p>
    <w:p w14:paraId="481CC623">
      <w:pPr>
        <w:pStyle w:val="7"/>
        <w:numPr>
          <w:ilvl w:val="0"/>
          <w:numId w:val="1"/>
        </w:numPr>
        <w:tabs>
          <w:tab w:val="left" w:pos="1062"/>
        </w:tabs>
        <w:spacing w:before="0" w:after="0" w:line="364" w:lineRule="auto"/>
        <w:ind w:left="219" w:right="1277" w:firstLine="560"/>
        <w:jc w:val="left"/>
        <w:rPr>
          <w:sz w:val="28"/>
        </w:rPr>
      </w:pPr>
      <w:r>
        <w:rPr>
          <w:sz w:val="28"/>
        </w:rPr>
        <w:t>研究生奖学金评审委员会根据初步审核后的汇总材料对申请</w:t>
      </w:r>
      <w:r>
        <w:rPr>
          <w:spacing w:val="-9"/>
          <w:sz w:val="28"/>
        </w:rPr>
        <w:t>人上学年思想品德、学习科研、社会活动等方面的情况进行综合性评审，确定获奖人员名单和等级。</w:t>
      </w:r>
    </w:p>
    <w:p w14:paraId="4A8E6B23">
      <w:pPr>
        <w:pStyle w:val="7"/>
        <w:numPr>
          <w:ilvl w:val="0"/>
          <w:numId w:val="1"/>
        </w:numPr>
        <w:tabs>
          <w:tab w:val="left" w:pos="1062"/>
        </w:tabs>
        <w:spacing w:before="0" w:after="0" w:line="364" w:lineRule="auto"/>
        <w:ind w:left="219" w:right="1464" w:firstLine="560"/>
        <w:jc w:val="left"/>
        <w:rPr>
          <w:sz w:val="28"/>
        </w:rPr>
      </w:pPr>
      <w:r>
        <w:rPr>
          <w:sz w:val="28"/>
        </w:rPr>
        <w:t>初步审核与综合评审阶段若发现申请人提交材料存有弄虚作假情形，申请人参评资格一律取消.</w:t>
      </w:r>
    </w:p>
    <w:p w14:paraId="67550234">
      <w:pPr>
        <w:pStyle w:val="7"/>
        <w:numPr>
          <w:ilvl w:val="0"/>
          <w:numId w:val="1"/>
        </w:numPr>
        <w:tabs>
          <w:tab w:val="left" w:pos="1062"/>
        </w:tabs>
        <w:spacing w:before="0" w:after="0" w:line="364" w:lineRule="auto"/>
        <w:ind w:left="219" w:right="1276" w:firstLine="560"/>
        <w:jc w:val="left"/>
        <w:rPr>
          <w:sz w:val="28"/>
        </w:rPr>
      </w:pPr>
      <w:r>
        <w:rPr>
          <w:spacing w:val="-7"/>
          <w:sz w:val="28"/>
        </w:rPr>
        <w:t>评审结果在</w:t>
      </w:r>
      <w:r>
        <w:rPr>
          <w:rFonts w:hint="eastAsia"/>
          <w:spacing w:val="-7"/>
          <w:sz w:val="28"/>
          <w:lang w:val="en-US" w:eastAsia="zh-CN"/>
        </w:rPr>
        <w:t>学院</w:t>
      </w:r>
      <w:r>
        <w:rPr>
          <w:spacing w:val="-7"/>
          <w:sz w:val="28"/>
        </w:rPr>
        <w:t>网站进行公示，公示后上报我校研究生奖助工作领导小组。</w:t>
      </w:r>
    </w:p>
    <w:p w14:paraId="66A1C07A">
      <w:pPr>
        <w:spacing w:after="0" w:line="364" w:lineRule="auto"/>
        <w:jc w:val="left"/>
        <w:rPr>
          <w:sz w:val="28"/>
        </w:rPr>
        <w:sectPr>
          <w:pgSz w:w="11910" w:h="16840"/>
          <w:pgMar w:top="1400" w:right="520" w:bottom="280" w:left="1580" w:header="720" w:footer="720" w:gutter="0"/>
          <w:cols w:space="720" w:num="1"/>
        </w:sectPr>
      </w:pPr>
    </w:p>
    <w:p w14:paraId="4D00F28A">
      <w:pPr>
        <w:pStyle w:val="7"/>
        <w:numPr>
          <w:ilvl w:val="0"/>
          <w:numId w:val="1"/>
        </w:numPr>
        <w:tabs>
          <w:tab w:val="left" w:pos="1062"/>
        </w:tabs>
        <w:spacing w:before="42" w:after="0" w:line="364" w:lineRule="auto"/>
        <w:ind w:left="219" w:right="1276" w:firstLine="560"/>
        <w:jc w:val="left"/>
        <w:rPr>
          <w:sz w:val="28"/>
        </w:rPr>
      </w:pPr>
      <w:r>
        <w:rPr>
          <w:spacing w:val="-10"/>
          <w:sz w:val="28"/>
        </w:rPr>
        <w:t>公示期间有异议者，可依据真实可靠材料向</w:t>
      </w:r>
      <w:r>
        <w:rPr>
          <w:rFonts w:hint="eastAsia"/>
          <w:spacing w:val="-10"/>
          <w:sz w:val="28"/>
          <w:lang w:val="en-US" w:eastAsia="zh-CN"/>
        </w:rPr>
        <w:t>学院</w:t>
      </w:r>
      <w:r>
        <w:rPr>
          <w:spacing w:val="-10"/>
          <w:sz w:val="28"/>
        </w:rPr>
        <w:t>研究生奖学金评审委员会提出申诉。</w:t>
      </w:r>
    </w:p>
    <w:p w14:paraId="35CCA4EB">
      <w:pPr>
        <w:spacing w:before="0" w:line="364" w:lineRule="auto"/>
        <w:ind w:left="220" w:right="1303" w:firstLine="279"/>
        <w:jc w:val="left"/>
        <w:rPr>
          <w:sz w:val="28"/>
        </w:rPr>
      </w:pPr>
      <w:r>
        <w:rPr>
          <w:sz w:val="28"/>
        </w:rPr>
        <w:t>第七条 评审计分方式</w:t>
      </w:r>
    </w:p>
    <w:p w14:paraId="4AB88A62">
      <w:pPr>
        <w:pStyle w:val="3"/>
        <w:spacing w:line="358" w:lineRule="exact"/>
        <w:ind w:left="780"/>
      </w:pPr>
      <w:r>
        <w:t>1.第二学年评审计分方式：</w:t>
      </w:r>
    </w:p>
    <w:p w14:paraId="27935292">
      <w:pPr>
        <w:pStyle w:val="3"/>
        <w:spacing w:before="185" w:line="364" w:lineRule="auto"/>
        <w:ind w:left="219" w:right="1134" w:firstLine="560"/>
      </w:pPr>
      <w:r>
        <w:t>A</w:t>
      </w:r>
      <w:r>
        <w:rPr>
          <w:spacing w:val="-22"/>
        </w:rPr>
        <w:t xml:space="preserve"> 思想品德，占 </w:t>
      </w:r>
      <w:r>
        <w:rPr>
          <w:spacing w:val="-4"/>
        </w:rPr>
        <w:t>10%；B</w:t>
      </w:r>
      <w:r>
        <w:rPr>
          <w:spacing w:val="-22"/>
        </w:rPr>
        <w:t xml:space="preserve"> 科学研究，占 </w:t>
      </w:r>
      <w:r>
        <w:rPr>
          <w:spacing w:val="-4"/>
        </w:rPr>
        <w:t>30%；C</w:t>
      </w:r>
      <w:r>
        <w:rPr>
          <w:spacing w:val="-22"/>
        </w:rPr>
        <w:t xml:space="preserve"> 学习成绩，占 </w:t>
      </w:r>
      <w:r>
        <w:t>40%； D</w:t>
      </w:r>
      <w:r>
        <w:rPr>
          <w:spacing w:val="-23"/>
        </w:rPr>
        <w:t xml:space="preserve"> 社会活动，占 </w:t>
      </w:r>
      <w:r>
        <w:rPr>
          <w:spacing w:val="-5"/>
        </w:rPr>
        <w:t>10%；E</w:t>
      </w:r>
      <w:r>
        <w:rPr>
          <w:spacing w:val="-23"/>
        </w:rPr>
        <w:t xml:space="preserve"> 兼职工作，占 </w:t>
      </w:r>
      <w:r>
        <w:t>10%</w:t>
      </w:r>
      <w:r>
        <w:rPr>
          <w:spacing w:val="-5"/>
        </w:rPr>
        <w:t>。各项得分乘以各项系数后累计总分为最后得分。</w:t>
      </w:r>
    </w:p>
    <w:p w14:paraId="401C69BD">
      <w:pPr>
        <w:pStyle w:val="3"/>
        <w:spacing w:line="356" w:lineRule="exact"/>
        <w:ind w:left="780"/>
      </w:pPr>
      <w:r>
        <w:t>计分公式为：总分T=A×10%+B×30%+C×40%+D×10%+E×10%</w:t>
      </w:r>
    </w:p>
    <w:p w14:paraId="59287415">
      <w:pPr>
        <w:pStyle w:val="3"/>
        <w:spacing w:before="186"/>
        <w:ind w:left="780"/>
      </w:pPr>
      <w:r>
        <w:t>2.第三学年评审计分方式：</w:t>
      </w:r>
    </w:p>
    <w:p w14:paraId="065CA2E7">
      <w:pPr>
        <w:pStyle w:val="3"/>
        <w:spacing w:before="186" w:line="364" w:lineRule="auto"/>
        <w:ind w:left="219" w:right="1134" w:firstLine="560"/>
      </w:pPr>
      <w:r>
        <w:t>A</w:t>
      </w:r>
      <w:r>
        <w:rPr>
          <w:spacing w:val="-22"/>
        </w:rPr>
        <w:t xml:space="preserve"> 思想品德，占 </w:t>
      </w:r>
      <w:r>
        <w:rPr>
          <w:spacing w:val="-4"/>
        </w:rPr>
        <w:t>10%；B</w:t>
      </w:r>
      <w:r>
        <w:rPr>
          <w:spacing w:val="-22"/>
        </w:rPr>
        <w:t xml:space="preserve"> 科学研究，占 </w:t>
      </w:r>
      <w:r>
        <w:rPr>
          <w:spacing w:val="-4"/>
        </w:rPr>
        <w:t>50%；C</w:t>
      </w:r>
      <w:r>
        <w:rPr>
          <w:spacing w:val="-22"/>
        </w:rPr>
        <w:t xml:space="preserve"> 学习成绩，占 </w:t>
      </w:r>
      <w:r>
        <w:t>20%； D</w:t>
      </w:r>
      <w:r>
        <w:rPr>
          <w:spacing w:val="-23"/>
        </w:rPr>
        <w:t xml:space="preserve"> 社会活动，占 </w:t>
      </w:r>
      <w:r>
        <w:rPr>
          <w:spacing w:val="-5"/>
        </w:rPr>
        <w:t>10%；E</w:t>
      </w:r>
      <w:r>
        <w:rPr>
          <w:spacing w:val="-23"/>
        </w:rPr>
        <w:t xml:space="preserve"> 兼职工作，占 </w:t>
      </w:r>
      <w:r>
        <w:t>10%</w:t>
      </w:r>
      <w:r>
        <w:rPr>
          <w:spacing w:val="-5"/>
        </w:rPr>
        <w:t>。各项得分乘以各项系数后累计总分为最后得分。第三学年的思想品德、科学研究、社会活动、</w:t>
      </w:r>
      <w:r>
        <w:rPr>
          <w:spacing w:val="-9"/>
        </w:rPr>
        <w:t>兼职工作参评资料不包括第一学年的科学研究参评资料；第三学年的学习成绩为第一学年学习成绩与第二学年学习成绩的综合。</w:t>
      </w:r>
    </w:p>
    <w:p w14:paraId="612D5C1C">
      <w:pPr>
        <w:pStyle w:val="3"/>
        <w:spacing w:line="356" w:lineRule="exact"/>
        <w:ind w:left="780"/>
      </w:pPr>
      <w:r>
        <w:t>计分公式为：总分T=A×10%+B×50%+C×20%+D×10%+E×10%</w:t>
      </w:r>
    </w:p>
    <w:p w14:paraId="2A320F9A">
      <w:pPr>
        <w:pStyle w:val="3"/>
        <w:spacing w:before="186"/>
        <w:ind w:left="220"/>
      </w:pPr>
      <w:r>
        <w:t>第八条 有下列情况之一者，不能申请学业奖学金：</w:t>
      </w:r>
    </w:p>
    <w:p w14:paraId="6BABA097">
      <w:pPr>
        <w:pStyle w:val="3"/>
        <w:spacing w:before="185" w:line="364" w:lineRule="auto"/>
        <w:ind w:left="219" w:right="1276" w:firstLine="560"/>
      </w:pPr>
      <w:r>
        <w:t>（一</w:t>
      </w:r>
      <w:r>
        <w:rPr>
          <w:spacing w:val="-47"/>
        </w:rPr>
        <w:t>）</w:t>
      </w:r>
      <w:r>
        <w:rPr>
          <w:spacing w:val="-4"/>
        </w:rPr>
        <w:t>违反国家法律法规和校规校纪，受到通报各级处分且未撤销处分者；</w:t>
      </w:r>
    </w:p>
    <w:p w14:paraId="1FCF0A05">
      <w:pPr>
        <w:pStyle w:val="3"/>
        <w:spacing w:line="358" w:lineRule="exact"/>
        <w:ind w:left="780"/>
      </w:pPr>
      <w:r>
        <w:t>（二）违反研究生学籍管理规定，未在学校规定时间内注册者；</w:t>
      </w:r>
    </w:p>
    <w:p w14:paraId="5DBD2B32">
      <w:pPr>
        <w:pStyle w:val="3"/>
        <w:spacing w:before="186"/>
        <w:ind w:left="780"/>
      </w:pPr>
      <w:r>
        <w:t>（三）中期考核不合格者；</w:t>
      </w:r>
    </w:p>
    <w:p w14:paraId="47714FDB">
      <w:pPr>
        <w:pStyle w:val="3"/>
        <w:spacing w:before="186" w:line="364" w:lineRule="auto"/>
        <w:ind w:left="219" w:right="1277" w:firstLine="560"/>
      </w:pPr>
      <w:r>
        <w:t>（四</w:t>
      </w:r>
      <w:r>
        <w:rPr>
          <w:spacing w:val="-32"/>
        </w:rPr>
        <w:t>）</w:t>
      </w:r>
      <w:r>
        <w:rPr>
          <w:spacing w:val="-5"/>
        </w:rPr>
        <w:t>研究生在学制期限内，由于因私出国、疾病等原因办理保留学籍或休学等手续者；</w:t>
      </w:r>
    </w:p>
    <w:p w14:paraId="0890AFDC">
      <w:pPr>
        <w:pStyle w:val="3"/>
        <w:spacing w:line="358" w:lineRule="exact"/>
        <w:ind w:left="780"/>
      </w:pPr>
      <w:r>
        <w:t>（五）超过规定学制年限者。</w:t>
      </w:r>
    </w:p>
    <w:p w14:paraId="1C02514D">
      <w:pPr>
        <w:spacing w:after="0" w:line="358" w:lineRule="exact"/>
        <w:sectPr>
          <w:pgSz w:w="11910" w:h="16840"/>
          <w:pgMar w:top="1400" w:right="520" w:bottom="280" w:left="1580" w:header="720" w:footer="720" w:gutter="0"/>
          <w:cols w:space="720" w:num="1"/>
        </w:sectPr>
      </w:pPr>
    </w:p>
    <w:p w14:paraId="7AB81DB4">
      <w:pPr>
        <w:pStyle w:val="3"/>
        <w:spacing w:before="42" w:line="364" w:lineRule="auto"/>
        <w:ind w:left="219" w:right="1277" w:firstLine="560"/>
        <w:jc w:val="both"/>
      </w:pPr>
      <w:r>
        <w:rPr>
          <w:spacing w:val="-2"/>
        </w:rPr>
        <w:t>第九条 学业奖学金参评材料须为研究生在攻读相应学位阶段内</w:t>
      </w:r>
      <w:r>
        <w:rPr>
          <w:spacing w:val="-9"/>
        </w:rPr>
        <w:t>获得并与其研究方向相关，“南京中医药大学”必须为各类参评材料的第一署名单位。参评材料不可重复使用。</w:t>
      </w:r>
    </w:p>
    <w:p w14:paraId="0E06F145">
      <w:pPr>
        <w:pStyle w:val="2"/>
      </w:pPr>
      <w:r>
        <w:t>第四章 学校奖学金发放与管理</w:t>
      </w:r>
    </w:p>
    <w:p w14:paraId="6231C1CD">
      <w:pPr>
        <w:pStyle w:val="3"/>
        <w:spacing w:before="11"/>
        <w:rPr>
          <w:b/>
          <w:sz w:val="23"/>
        </w:rPr>
      </w:pPr>
    </w:p>
    <w:p w14:paraId="2E408B8F">
      <w:pPr>
        <w:pStyle w:val="3"/>
        <w:spacing w:before="1"/>
        <w:ind w:left="780"/>
      </w:pPr>
      <w:r>
        <w:t>第十条 学校将学业奖学金一次性发放给研究生。</w:t>
      </w:r>
    </w:p>
    <w:p w14:paraId="3386D9B9">
      <w:pPr>
        <w:pStyle w:val="3"/>
        <w:spacing w:before="186" w:line="364" w:lineRule="auto"/>
        <w:ind w:left="220" w:right="1604" w:firstLine="559"/>
      </w:pPr>
      <w:r>
        <w:t>第十一条 获得学业奖学金的研究生在校期间有下列情况之一者，取消奖学金的发放：</w:t>
      </w:r>
    </w:p>
    <w:p w14:paraId="1C938B4F">
      <w:pPr>
        <w:pStyle w:val="3"/>
        <w:spacing w:line="357" w:lineRule="exact"/>
        <w:ind w:left="640"/>
      </w:pPr>
      <w:r>
        <w:t>（一）参评材料弄虚作假；</w:t>
      </w:r>
    </w:p>
    <w:p w14:paraId="32399A6D">
      <w:pPr>
        <w:pStyle w:val="3"/>
        <w:spacing w:before="186"/>
        <w:ind w:left="640"/>
      </w:pPr>
      <w:r>
        <w:t>（二）违反学术道德；</w:t>
      </w:r>
    </w:p>
    <w:p w14:paraId="32B5C0E1">
      <w:pPr>
        <w:pStyle w:val="3"/>
        <w:spacing w:before="186"/>
        <w:ind w:left="640"/>
      </w:pPr>
      <w:r>
        <w:t>（三）由于学业不合格而不能按时获得学位；</w:t>
      </w:r>
    </w:p>
    <w:p w14:paraId="555B8786">
      <w:pPr>
        <w:pStyle w:val="3"/>
        <w:spacing w:before="186"/>
        <w:ind w:left="640"/>
      </w:pPr>
      <w:r>
        <w:t>（四）违反校规校纪行为，受到纪律处分。</w:t>
      </w:r>
    </w:p>
    <w:p w14:paraId="56E6AFBB">
      <w:pPr>
        <w:pStyle w:val="3"/>
        <w:spacing w:before="186" w:line="364" w:lineRule="auto"/>
        <w:ind w:left="219" w:right="1273" w:firstLine="560"/>
        <w:jc w:val="both"/>
      </w:pPr>
      <w:r>
        <w:rPr>
          <w:spacing w:val="-1"/>
        </w:rPr>
        <w:t>第十二条 研究生学业奖学金的评审工作坚持</w:t>
      </w:r>
      <w:r>
        <w:rPr>
          <w:spacing w:val="-10"/>
        </w:rPr>
        <w:t>公开、公平、公正、择优的原则，</w:t>
      </w:r>
      <w:r>
        <w:rPr>
          <w:rFonts w:hint="eastAsia"/>
          <w:spacing w:val="-10"/>
          <w:lang w:eastAsia="zh-CN"/>
        </w:rPr>
        <w:t>院</w:t>
      </w:r>
      <w:r>
        <w:rPr>
          <w:spacing w:val="-10"/>
        </w:rPr>
        <w:t>研究生奖学金评</w:t>
      </w:r>
      <w:r>
        <w:rPr>
          <w:spacing w:val="-13"/>
        </w:rPr>
        <w:t>审委员会可根据所内学科专业实际情况对委员会成员进行增减，每年根据研究生的实际情况评审一次，均实行动态管理。</w:t>
      </w:r>
    </w:p>
    <w:p w14:paraId="6EF47038">
      <w:pPr>
        <w:pStyle w:val="2"/>
        <w:ind w:left="3922"/>
      </w:pPr>
      <w:r>
        <w:t>第五章 附则</w:t>
      </w:r>
    </w:p>
    <w:p w14:paraId="1653B39A">
      <w:pPr>
        <w:pStyle w:val="3"/>
        <w:spacing w:before="11"/>
        <w:rPr>
          <w:b/>
          <w:sz w:val="23"/>
        </w:rPr>
      </w:pPr>
    </w:p>
    <w:p w14:paraId="1CB6ED18">
      <w:pPr>
        <w:pStyle w:val="3"/>
        <w:spacing w:before="186" w:line="364" w:lineRule="auto"/>
        <w:ind w:left="219" w:right="1273" w:firstLine="560"/>
        <w:jc w:val="both"/>
        <w:rPr>
          <w:spacing w:val="-1"/>
        </w:rPr>
      </w:pPr>
      <w:r>
        <w:t xml:space="preserve">第十三条 </w:t>
      </w:r>
      <w:r>
        <w:rPr>
          <w:rFonts w:hint="eastAsia"/>
          <w:lang w:val="en-US" w:eastAsia="zh-CN"/>
        </w:rPr>
        <w:t xml:space="preserve"> </w:t>
      </w:r>
      <w:r>
        <w:rPr>
          <w:spacing w:val="-1"/>
        </w:rPr>
        <w:t>本细则由</w:t>
      </w:r>
      <w:r>
        <w:rPr>
          <w:rFonts w:hint="eastAsia"/>
          <w:spacing w:val="-1"/>
          <w:lang w:eastAsia="zh-CN"/>
        </w:rPr>
        <w:t>医学人文学院</w:t>
      </w:r>
      <w:r>
        <w:rPr>
          <w:spacing w:val="-1"/>
        </w:rPr>
        <w:t>研究生奖学金评审委员会负责解释，未尽事宜由</w:t>
      </w:r>
      <w:r>
        <w:rPr>
          <w:rFonts w:hint="eastAsia"/>
          <w:spacing w:val="-1"/>
          <w:lang w:eastAsia="zh-CN"/>
        </w:rPr>
        <w:t>学院</w:t>
      </w:r>
      <w:r>
        <w:rPr>
          <w:spacing w:val="-1"/>
        </w:rPr>
        <w:t>研究生奖学金评审委员会专项集体讨论决定。</w:t>
      </w:r>
    </w:p>
    <w:p w14:paraId="1DA83B87">
      <w:pPr>
        <w:pStyle w:val="3"/>
        <w:spacing w:before="186" w:line="364" w:lineRule="auto"/>
        <w:ind w:left="219" w:right="1273" w:firstLine="560"/>
        <w:jc w:val="both"/>
        <w:rPr>
          <w:spacing w:val="-1"/>
        </w:rPr>
      </w:pPr>
    </w:p>
    <w:p w14:paraId="629CCB01">
      <w:pPr>
        <w:pStyle w:val="2"/>
        <w:spacing w:before="0"/>
        <w:jc w:val="left"/>
        <w:rPr>
          <w:rFonts w:hint="eastAsia" w:ascii="宋体" w:eastAsia="宋体"/>
        </w:rPr>
      </w:pPr>
    </w:p>
    <w:p w14:paraId="450E84FC">
      <w:pPr>
        <w:pStyle w:val="2"/>
        <w:spacing w:before="0"/>
        <w:jc w:val="left"/>
        <w:rPr>
          <w:rFonts w:hint="eastAsia" w:ascii="宋体" w:eastAsia="宋体"/>
        </w:rPr>
      </w:pPr>
    </w:p>
    <w:sectPr>
      <w:pgSz w:w="11910" w:h="16840"/>
      <w:pgMar w:top="1400" w:right="52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20" w:hanging="282"/>
        <w:jc w:val="right"/>
      </w:pPr>
      <w:rPr>
        <w:rFonts w:hint="default" w:ascii="仿宋" w:hAnsi="仿宋" w:eastAsia="仿宋" w:cs="仿宋"/>
        <w:w w:val="99"/>
        <w:sz w:val="26"/>
        <w:szCs w:val="26"/>
        <w:lang w:val="zh-CN" w:eastAsia="zh-CN" w:bidi="zh-CN"/>
      </w:rPr>
    </w:lvl>
    <w:lvl w:ilvl="1" w:tentative="0">
      <w:start w:val="0"/>
      <w:numFmt w:val="bullet"/>
      <w:lvlText w:val="•"/>
      <w:lvlJc w:val="left"/>
      <w:pPr>
        <w:ind w:left="1178" w:hanging="282"/>
      </w:pPr>
      <w:rPr>
        <w:rFonts w:hint="default"/>
        <w:lang w:val="zh-CN" w:eastAsia="zh-CN" w:bidi="zh-CN"/>
      </w:rPr>
    </w:lvl>
    <w:lvl w:ilvl="2" w:tentative="0">
      <w:start w:val="0"/>
      <w:numFmt w:val="bullet"/>
      <w:lvlText w:val="•"/>
      <w:lvlJc w:val="left"/>
      <w:pPr>
        <w:ind w:left="2136" w:hanging="282"/>
      </w:pPr>
      <w:rPr>
        <w:rFonts w:hint="default"/>
        <w:lang w:val="zh-CN" w:eastAsia="zh-CN" w:bidi="zh-CN"/>
      </w:rPr>
    </w:lvl>
    <w:lvl w:ilvl="3" w:tentative="0">
      <w:start w:val="0"/>
      <w:numFmt w:val="bullet"/>
      <w:lvlText w:val="•"/>
      <w:lvlJc w:val="left"/>
      <w:pPr>
        <w:ind w:left="3095" w:hanging="282"/>
      </w:pPr>
      <w:rPr>
        <w:rFonts w:hint="default"/>
        <w:lang w:val="zh-CN" w:eastAsia="zh-CN" w:bidi="zh-CN"/>
      </w:rPr>
    </w:lvl>
    <w:lvl w:ilvl="4" w:tentative="0">
      <w:start w:val="0"/>
      <w:numFmt w:val="bullet"/>
      <w:lvlText w:val="•"/>
      <w:lvlJc w:val="left"/>
      <w:pPr>
        <w:ind w:left="4053" w:hanging="282"/>
      </w:pPr>
      <w:rPr>
        <w:rFonts w:hint="default"/>
        <w:lang w:val="zh-CN" w:eastAsia="zh-CN" w:bidi="zh-CN"/>
      </w:rPr>
    </w:lvl>
    <w:lvl w:ilvl="5" w:tentative="0">
      <w:start w:val="0"/>
      <w:numFmt w:val="bullet"/>
      <w:lvlText w:val="•"/>
      <w:lvlJc w:val="left"/>
      <w:pPr>
        <w:ind w:left="5012" w:hanging="282"/>
      </w:pPr>
      <w:rPr>
        <w:rFonts w:hint="default"/>
        <w:lang w:val="zh-CN" w:eastAsia="zh-CN" w:bidi="zh-CN"/>
      </w:rPr>
    </w:lvl>
    <w:lvl w:ilvl="6" w:tentative="0">
      <w:start w:val="0"/>
      <w:numFmt w:val="bullet"/>
      <w:lvlText w:val="•"/>
      <w:lvlJc w:val="left"/>
      <w:pPr>
        <w:ind w:left="5970" w:hanging="282"/>
      </w:pPr>
      <w:rPr>
        <w:rFonts w:hint="default"/>
        <w:lang w:val="zh-CN" w:eastAsia="zh-CN" w:bidi="zh-CN"/>
      </w:rPr>
    </w:lvl>
    <w:lvl w:ilvl="7" w:tentative="0">
      <w:start w:val="0"/>
      <w:numFmt w:val="bullet"/>
      <w:lvlText w:val="•"/>
      <w:lvlJc w:val="left"/>
      <w:pPr>
        <w:ind w:left="6929" w:hanging="282"/>
      </w:pPr>
      <w:rPr>
        <w:rFonts w:hint="default"/>
        <w:lang w:val="zh-CN" w:eastAsia="zh-CN" w:bidi="zh-CN"/>
      </w:rPr>
    </w:lvl>
    <w:lvl w:ilvl="8" w:tentative="0">
      <w:start w:val="0"/>
      <w:numFmt w:val="bullet"/>
      <w:lvlText w:val="•"/>
      <w:lvlJc w:val="left"/>
      <w:pPr>
        <w:ind w:left="7887" w:hanging="28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4888"/>
    <w:rsid w:val="02BE447A"/>
    <w:rsid w:val="063D4CBA"/>
    <w:rsid w:val="07B436A2"/>
    <w:rsid w:val="082D6FB0"/>
    <w:rsid w:val="0869269D"/>
    <w:rsid w:val="0B140927"/>
    <w:rsid w:val="0E85203D"/>
    <w:rsid w:val="0ECA684C"/>
    <w:rsid w:val="0F7C05C9"/>
    <w:rsid w:val="13180961"/>
    <w:rsid w:val="1B66485B"/>
    <w:rsid w:val="1C9D24FF"/>
    <w:rsid w:val="1E23051F"/>
    <w:rsid w:val="1F640C9C"/>
    <w:rsid w:val="1FA55DBC"/>
    <w:rsid w:val="208B79E5"/>
    <w:rsid w:val="209D2FEF"/>
    <w:rsid w:val="22CD6A33"/>
    <w:rsid w:val="22EF7C72"/>
    <w:rsid w:val="287732F1"/>
    <w:rsid w:val="289A78F2"/>
    <w:rsid w:val="2C282DE4"/>
    <w:rsid w:val="30A96AFC"/>
    <w:rsid w:val="35696FCA"/>
    <w:rsid w:val="3EBB1326"/>
    <w:rsid w:val="42AE487D"/>
    <w:rsid w:val="464D3514"/>
    <w:rsid w:val="46616D5C"/>
    <w:rsid w:val="48650FAE"/>
    <w:rsid w:val="50371D47"/>
    <w:rsid w:val="50C92A33"/>
    <w:rsid w:val="51190671"/>
    <w:rsid w:val="51A647D1"/>
    <w:rsid w:val="56186DB5"/>
    <w:rsid w:val="566269E6"/>
    <w:rsid w:val="57A5222E"/>
    <w:rsid w:val="57C245EC"/>
    <w:rsid w:val="5BA75229"/>
    <w:rsid w:val="5FB1110F"/>
    <w:rsid w:val="623F0EEA"/>
    <w:rsid w:val="624A56FF"/>
    <w:rsid w:val="639E348C"/>
    <w:rsid w:val="64F9183A"/>
    <w:rsid w:val="68535FEC"/>
    <w:rsid w:val="6E0829EB"/>
    <w:rsid w:val="6F0331EB"/>
    <w:rsid w:val="6F521098"/>
    <w:rsid w:val="70F61FEA"/>
    <w:rsid w:val="72582781"/>
    <w:rsid w:val="75143E7A"/>
    <w:rsid w:val="75F533C0"/>
    <w:rsid w:val="76C06224"/>
    <w:rsid w:val="789E0FED"/>
    <w:rsid w:val="7990420D"/>
    <w:rsid w:val="7B8A2AB6"/>
    <w:rsid w:val="7BA106C4"/>
    <w:rsid w:val="7E5A1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8"/>
      <w:ind w:left="2797"/>
      <w:jc w:val="both"/>
      <w:outlineLvl w:val="1"/>
    </w:pPr>
    <w:rPr>
      <w:rFonts w:ascii="仿宋" w:hAnsi="仿宋" w:eastAsia="仿宋" w:cs="仿宋"/>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19" w:right="1276" w:firstLine="560"/>
    </w:pPr>
    <w:rPr>
      <w:rFonts w:ascii="仿宋" w:hAnsi="仿宋" w:eastAsia="仿宋" w:cs="仿宋"/>
      <w:lang w:val="zh-CN" w:eastAsia="zh-CN" w:bidi="zh-CN"/>
    </w:rPr>
  </w:style>
  <w:style w:type="paragraph" w:customStyle="1" w:styleId="8">
    <w:name w:val="Table Paragraph"/>
    <w:basedOn w:val="1"/>
    <w:qFormat/>
    <w:uiPriority w:val="1"/>
    <w:pPr>
      <w:spacing w:before="15"/>
      <w:ind w:left="97"/>
      <w:jc w:val="center"/>
    </w:pPr>
    <w:rPr>
      <w:rFonts w:ascii="仿宋" w:hAnsi="仿宋" w:eastAsia="仿宋" w:cs="仿宋"/>
      <w:lang w:val="zh-CN" w:eastAsia="zh-CN" w:bidi="zh-CN"/>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2116</Words>
  <Characters>2251</Characters>
  <TotalTime>5</TotalTime>
  <ScaleCrop>false</ScaleCrop>
  <LinksUpToDate>false</LinksUpToDate>
  <CharactersWithSpaces>2321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2019-11-28T07:06:00Z</dcterms:created>
  <dc:creator>lemon</dc:creator>
  <cp:lastModifiedBy>琼</cp:lastModifiedBy>
  <cp:lastPrinted>2025-11-18T09:03:00Z</cp:lastPrinted>
  <dcterms:modified xsi:type="dcterms:W3CDTF">2025-11-20T02:36:43Z</dcterms:modified>
  <dc:title>&lt;4D6963726F736F667420576F7264202D20B8BDBCFE31A3A8C6C0B6A8CFB8D4F2A3A932303139C4EAB6C8D6D0D2BDD2BDCAB7CEC4CFD7D7A8D2B5D1A7D2B5BDB1D1A7BDF0A3A8C9EAC7EBC8CBB2CEBFBCA3A9&gt;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2019-11-28T00:00:00Z</vt:filetime>
  </property>
  <property fmtid="{D5CDD505-2E9C-101B-9397-08002B2CF9AE}" pid="5" name="KSOProductBuildVer">
    <vt:lpwstr>2052-12.1.0.23542</vt:lpwstr>
  </property>
  <property fmtid="{D5CDD505-2E9C-101B-9397-08002B2CF9AE}" pid="6" name="ICV">
    <vt:lpwstr>EE64353D6EBC43F3A3D38002CA240F06_13</vt:lpwstr>
  </property>
  <property fmtid="{D5CDD505-2E9C-101B-9397-08002B2CF9AE}" pid="7" name="KSOTemplateDocerSaveRecord">
    <vt:lpwstr>eyJoZGlkIjoiOWI0NmRhYTAyODAzZjYyZTk2MGIzMDlhOGQzNzVlMDEiLCJ1c2VySWQiOiIzMzc4MDExODMifQ==</vt:lpwstr>
  </property>
</Properties>
</file>